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AB13BC">
      <w:pPr>
        <w:jc w:val="center"/>
        <w:rPr>
          <w:rFonts w:ascii="Times New Roman" w:hAnsi="Times New Roman" w:eastAsia="华文中宋" w:cs="Times New Roman"/>
          <w:b/>
          <w:bCs/>
          <w:sz w:val="40"/>
          <w:szCs w:val="40"/>
        </w:rPr>
      </w:pPr>
      <w:r>
        <w:rPr>
          <w:rFonts w:hint="eastAsia" w:ascii="Times New Roman" w:hAnsi="Times New Roman" w:eastAsia="华文中宋" w:cs="Times New Roman"/>
          <w:b/>
          <w:bCs/>
          <w:sz w:val="40"/>
          <w:szCs w:val="40"/>
        </w:rPr>
        <w:t>东莞虎门“5·14”一般道路交通事故</w:t>
      </w:r>
      <w:r>
        <w:rPr>
          <w:rFonts w:ascii="Times New Roman" w:hAnsi="Times New Roman" w:eastAsia="华文中宋" w:cs="Times New Roman"/>
          <w:b/>
          <w:bCs/>
          <w:sz w:val="40"/>
          <w:szCs w:val="40"/>
        </w:rPr>
        <w:t>责任追究和整改措施落实情况评估报告</w:t>
      </w:r>
    </w:p>
    <w:p w14:paraId="0058D650">
      <w:pPr>
        <w:spacing w:line="560" w:lineRule="exact"/>
        <w:ind w:firstLine="640" w:firstLineChars="200"/>
        <w:rPr>
          <w:rFonts w:hint="eastAsia" w:ascii="Times New Roman" w:hAnsi="Times New Roman" w:eastAsia="仿宋_GB2312" w:cs="Times New Roman"/>
          <w:color w:val="000000"/>
          <w:sz w:val="32"/>
          <w:szCs w:val="32"/>
          <w:lang w:eastAsia="zh-CN"/>
        </w:rPr>
      </w:pPr>
    </w:p>
    <w:p w14:paraId="75F876EB">
      <w:pPr>
        <w:spacing w:line="560" w:lineRule="exact"/>
        <w:ind w:firstLine="640"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2025年5月14日8时49分许，在东莞市虎门镇镇兴路与镇业路北1米交叉口发生一起重型特殊结构货车与电动自行车碰撞的交通事故，造成1人死亡及两车不同程度损坏，直接经济损失约人民币160万元。</w:t>
      </w:r>
    </w:p>
    <w:p w14:paraId="6DAFB876">
      <w:pPr>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事故发生后，东莞市人民政府依法成立事故调查组开展事故调查工作，并于</w:t>
      </w:r>
      <w:r>
        <w:rPr>
          <w:rFonts w:ascii="Times New Roman" w:hAnsi="Times New Roman" w:eastAsia="仿宋_GB2312" w:cs="Times New Roman"/>
          <w:color w:val="auto"/>
          <w:sz w:val="32"/>
          <w:szCs w:val="32"/>
          <w:highlight w:val="none"/>
        </w:rPr>
        <w:t>202</w:t>
      </w:r>
      <w:r>
        <w:rPr>
          <w:rFonts w:hint="eastAsia" w:ascii="Times New Roman" w:hAnsi="Times New Roman" w:eastAsia="仿宋_GB2312" w:cs="Times New Roman"/>
          <w:color w:val="auto"/>
          <w:sz w:val="32"/>
          <w:szCs w:val="32"/>
          <w:highlight w:val="none"/>
          <w:lang w:val="en-US" w:eastAsia="zh-CN"/>
        </w:rPr>
        <w:t>5</w:t>
      </w:r>
      <w:r>
        <w:rPr>
          <w:rFonts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9</w:t>
      </w:r>
      <w:r>
        <w:rPr>
          <w:rFonts w:ascii="Times New Roman" w:hAnsi="Times New Roman" w:eastAsia="仿宋_GB2312" w:cs="Times New Roman"/>
          <w:color w:val="auto"/>
          <w:sz w:val="32"/>
          <w:szCs w:val="32"/>
          <w:highlight w:val="none"/>
        </w:rPr>
        <w:t>月</w:t>
      </w:r>
      <w:r>
        <w:rPr>
          <w:rFonts w:ascii="Times New Roman" w:hAnsi="Times New Roman" w:eastAsia="仿宋_GB2312" w:cs="Times New Roman"/>
          <w:color w:val="000000"/>
          <w:sz w:val="32"/>
          <w:szCs w:val="32"/>
        </w:rPr>
        <w:t>批复事故调查组提交的《</w:t>
      </w:r>
      <w:r>
        <w:rPr>
          <w:rFonts w:hint="eastAsia" w:ascii="Times New Roman" w:hAnsi="Times New Roman" w:eastAsia="仿宋_GB2312" w:cs="Times New Roman"/>
          <w:color w:val="000000"/>
          <w:sz w:val="32"/>
          <w:szCs w:val="32"/>
        </w:rPr>
        <w:t>东莞虎门“5·14”一般道路交通事故调查报告</w:t>
      </w:r>
      <w:r>
        <w:rPr>
          <w:rFonts w:ascii="Times New Roman" w:hAnsi="Times New Roman" w:eastAsia="仿宋_GB2312" w:cs="Times New Roman"/>
          <w:color w:val="000000"/>
          <w:sz w:val="32"/>
          <w:szCs w:val="32"/>
        </w:rPr>
        <w:t>》（以下简称《事故调查报告》）。</w:t>
      </w:r>
    </w:p>
    <w:p w14:paraId="3DC3B7E3">
      <w:pPr>
        <w:spacing w:line="560" w:lineRule="exact"/>
        <w:ind w:firstLine="640"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为认真落实《中华人民共和国安全生产法》《生产安全事故报告和调查处理条例》有关要求，强化事故整改措施落实和责任追究工作，切实做到闭环管理，根据省安委办印发的《进一步推动生产安全事故责任追究和整改措施意见落实情况评估工作方案》（粤安办〔2023〕79号，以下简称《评估工作方案》）和《广东省生产安全事故防范和整改措施落实情况评估指引》（以下简称《评估指引》），东莞市安委办对涉事相关单位及人员事故责任追究和整改措施落实情况进行了评估，现将评估情况报告如下：</w:t>
      </w:r>
    </w:p>
    <w:p w14:paraId="53109945">
      <w:pPr>
        <w:widowControl/>
        <w:spacing w:line="560" w:lineRule="exact"/>
        <w:ind w:firstLine="640" w:firstLineChars="200"/>
        <w:rPr>
          <w:rFonts w:hint="eastAsia" w:ascii="Times New Roman" w:hAnsi="Times New Roman" w:eastAsia="黑体" w:cs="Times New Roman"/>
          <w:color w:val="auto"/>
          <w:sz w:val="32"/>
          <w:szCs w:val="32"/>
        </w:rPr>
      </w:pPr>
      <w:r>
        <w:rPr>
          <w:rFonts w:hint="eastAsia" w:ascii="Times New Roman" w:hAnsi="Times New Roman" w:eastAsia="黑体" w:cs="Times New Roman"/>
          <w:color w:val="auto"/>
          <w:sz w:val="32"/>
          <w:szCs w:val="32"/>
        </w:rPr>
        <w:t>一、评估工作概况</w:t>
      </w:r>
    </w:p>
    <w:p w14:paraId="557A7615">
      <w:pPr>
        <w:keepNext w:val="0"/>
        <w:keepLines w:val="0"/>
        <w:pageBreakBefore w:val="0"/>
        <w:widowControl w:val="0"/>
        <w:kinsoku/>
        <w:wordWrap/>
        <w:overflowPunct/>
        <w:topLinePunct w:val="0"/>
        <w:autoSpaceDE/>
        <w:autoSpaceDN/>
        <w:bidi w:val="0"/>
        <w:adjustRightInd/>
        <w:snapToGrid/>
        <w:spacing w:before="63" w:beforeLines="20" w:after="63" w:afterLines="20" w:line="560" w:lineRule="exact"/>
        <w:ind w:firstLine="640" w:firstLineChars="200"/>
        <w:textAlignment w:val="auto"/>
        <w:rPr>
          <w:rFonts w:hint="eastAsia" w:ascii="Times New Roman" w:hAnsi="Times New Roman" w:eastAsia="楷体" w:cs="Times New Roman"/>
          <w:color w:val="auto"/>
          <w:sz w:val="32"/>
          <w:szCs w:val="32"/>
          <w:lang w:val="en-US" w:eastAsia="zh-CN"/>
        </w:rPr>
      </w:pPr>
      <w:r>
        <w:rPr>
          <w:rFonts w:hint="eastAsia" w:ascii="Times New Roman" w:hAnsi="Times New Roman" w:eastAsia="楷体" w:cs="Times New Roman"/>
          <w:color w:val="auto"/>
          <w:sz w:val="32"/>
          <w:szCs w:val="32"/>
          <w:lang w:val="en-US" w:eastAsia="zh-CN"/>
        </w:rPr>
        <w:t>（一）成立评估组</w:t>
      </w:r>
    </w:p>
    <w:p w14:paraId="4ACDDAEA">
      <w:pPr>
        <w:spacing w:line="560" w:lineRule="exact"/>
        <w:ind w:firstLine="632" w:firstLineChars="200"/>
        <w:rPr>
          <w:rFonts w:hint="eastAsia" w:ascii="Times New Roman" w:hAnsi="Times New Roman" w:eastAsia="仿宋_GB2312" w:cs="Times New Roman"/>
          <w:color w:val="000000"/>
          <w:w w:val="99"/>
          <w:sz w:val="32"/>
          <w:szCs w:val="32"/>
        </w:rPr>
      </w:pPr>
      <w:r>
        <w:rPr>
          <w:rFonts w:hint="eastAsia" w:ascii="Times New Roman" w:hAnsi="Times New Roman" w:eastAsia="仿宋_GB2312" w:cs="Times New Roman"/>
          <w:color w:val="000000"/>
          <w:w w:val="99"/>
          <w:sz w:val="32"/>
          <w:szCs w:val="32"/>
        </w:rPr>
        <w:t>2026年</w:t>
      </w:r>
      <w:r>
        <w:rPr>
          <w:rFonts w:hint="eastAsia" w:ascii="Times New Roman" w:hAnsi="Times New Roman" w:eastAsia="仿宋_GB2312" w:cs="Times New Roman"/>
          <w:color w:val="000000"/>
          <w:w w:val="99"/>
          <w:sz w:val="32"/>
          <w:szCs w:val="32"/>
          <w:lang w:val="en-US" w:eastAsia="zh-CN"/>
        </w:rPr>
        <w:t>8</w:t>
      </w:r>
      <w:r>
        <w:rPr>
          <w:rFonts w:hint="eastAsia" w:ascii="Times New Roman" w:hAnsi="Times New Roman" w:eastAsia="仿宋_GB2312" w:cs="Times New Roman"/>
          <w:color w:val="000000"/>
          <w:w w:val="99"/>
          <w:sz w:val="32"/>
          <w:szCs w:val="32"/>
        </w:rPr>
        <w:t>月，东莞市安全生产委员会办公室牵头成立评估组，评估组依据《评估工作方案》《评估指引》等相关文件，委托第三方专业技术服务机构协助开展相关评估工作。</w:t>
      </w:r>
    </w:p>
    <w:p w14:paraId="27777C43">
      <w:pPr>
        <w:keepNext w:val="0"/>
        <w:keepLines w:val="0"/>
        <w:pageBreakBefore w:val="0"/>
        <w:widowControl w:val="0"/>
        <w:kinsoku/>
        <w:wordWrap/>
        <w:overflowPunct/>
        <w:topLinePunct w:val="0"/>
        <w:autoSpaceDE/>
        <w:autoSpaceDN/>
        <w:bidi w:val="0"/>
        <w:adjustRightInd/>
        <w:snapToGrid/>
        <w:spacing w:before="63" w:beforeLines="20" w:after="63" w:afterLines="20" w:line="560" w:lineRule="exact"/>
        <w:ind w:firstLine="640" w:firstLineChars="200"/>
        <w:textAlignment w:val="auto"/>
        <w:rPr>
          <w:rFonts w:hint="eastAsia" w:ascii="Times New Roman" w:hAnsi="Times New Roman" w:eastAsia="楷体" w:cs="Times New Roman"/>
          <w:color w:val="auto"/>
          <w:sz w:val="32"/>
          <w:szCs w:val="32"/>
          <w:lang w:val="en-US" w:eastAsia="zh-CN"/>
        </w:rPr>
      </w:pPr>
      <w:r>
        <w:rPr>
          <w:rFonts w:hint="eastAsia" w:ascii="Times New Roman" w:hAnsi="Times New Roman" w:eastAsia="楷体" w:cs="Times New Roman"/>
          <w:color w:val="auto"/>
          <w:sz w:val="32"/>
          <w:szCs w:val="32"/>
          <w:lang w:val="en-US" w:eastAsia="zh-CN"/>
        </w:rPr>
        <w:t>（二）开展评估工作</w:t>
      </w:r>
    </w:p>
    <w:p w14:paraId="67537470">
      <w:pPr>
        <w:widowControl/>
        <w:spacing w:line="560" w:lineRule="exact"/>
        <w:ind w:firstLine="640" w:firstLineChars="200"/>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评估组通过查阅相关单位关于事故责任追究和整改措施落实情况的相关文件，整体评估了事故各有关责任单位和部门责任追究及事故防范和整改措施建议的落实情况。</w:t>
      </w:r>
    </w:p>
    <w:p w14:paraId="25B7B509">
      <w:pPr>
        <w:widowControl/>
        <w:spacing w:line="560" w:lineRule="exact"/>
        <w:ind w:firstLine="640" w:firstLineChars="200"/>
        <w:rPr>
          <w:rFonts w:hint="eastAsia" w:ascii="Times New Roman" w:hAnsi="Times New Roman" w:eastAsia="黑体" w:cs="Times New Roman"/>
          <w:color w:val="auto"/>
          <w:sz w:val="32"/>
          <w:szCs w:val="32"/>
        </w:rPr>
      </w:pPr>
      <w:r>
        <w:rPr>
          <w:rFonts w:hint="eastAsia" w:ascii="Times New Roman" w:hAnsi="Times New Roman" w:eastAsia="黑体" w:cs="Times New Roman"/>
          <w:color w:val="auto"/>
          <w:sz w:val="32"/>
          <w:szCs w:val="32"/>
        </w:rPr>
        <w:t>二、责任追究落实情况</w:t>
      </w:r>
    </w:p>
    <w:p w14:paraId="132BC015">
      <w:pPr>
        <w:spacing w:beforeLines="50" w:afterLines="50" w:line="560" w:lineRule="exact"/>
        <w:ind w:firstLine="640" w:firstLineChars="200"/>
        <w:rPr>
          <w:rFonts w:hint="eastAsia" w:ascii="Times New Roman" w:hAnsi="Times New Roman" w:eastAsia="楷体" w:cs="Times New Roman"/>
          <w:sz w:val="32"/>
          <w:szCs w:val="32"/>
        </w:rPr>
      </w:pPr>
      <w:r>
        <w:rPr>
          <w:rFonts w:hint="eastAsia" w:ascii="Times New Roman" w:hAnsi="Times New Roman" w:eastAsia="楷体" w:cs="Times New Roman"/>
          <w:sz w:val="32"/>
          <w:szCs w:val="32"/>
        </w:rPr>
        <w:t>（一）刑事责任追究落实情况</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5"/>
        <w:gridCol w:w="1255"/>
        <w:gridCol w:w="4199"/>
        <w:gridCol w:w="2253"/>
      </w:tblGrid>
      <w:tr w14:paraId="558DC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blHeader/>
          <w:jc w:val="center"/>
        </w:trPr>
        <w:tc>
          <w:tcPr>
            <w:tcW w:w="478" w:type="pct"/>
            <w:vAlign w:val="center"/>
          </w:tcPr>
          <w:p w14:paraId="3D04F5A0">
            <w:pPr>
              <w:jc w:val="center"/>
              <w:rPr>
                <w:rFonts w:ascii="黑体" w:hAnsi="黑体" w:eastAsia="黑体" w:cs="黑体"/>
                <w:b/>
                <w:bCs/>
                <w:szCs w:val="21"/>
              </w:rPr>
            </w:pPr>
            <w:r>
              <w:rPr>
                <w:rFonts w:hint="eastAsia" w:ascii="黑体" w:hAnsi="黑体" w:eastAsia="黑体" w:cs="黑体"/>
                <w:b/>
                <w:bCs/>
                <w:szCs w:val="21"/>
              </w:rPr>
              <w:t>序号</w:t>
            </w:r>
          </w:p>
        </w:tc>
        <w:tc>
          <w:tcPr>
            <w:tcW w:w="736" w:type="pct"/>
            <w:vAlign w:val="center"/>
          </w:tcPr>
          <w:p w14:paraId="3FCE57C0">
            <w:pPr>
              <w:jc w:val="center"/>
              <w:rPr>
                <w:rFonts w:ascii="黑体" w:hAnsi="黑体" w:eastAsia="黑体" w:cs="黑体"/>
                <w:b/>
                <w:bCs/>
                <w:sz w:val="32"/>
                <w:szCs w:val="32"/>
              </w:rPr>
            </w:pPr>
            <w:r>
              <w:rPr>
                <w:rFonts w:hint="eastAsia" w:ascii="黑体" w:hAnsi="黑体" w:eastAsia="黑体" w:cs="黑体"/>
                <w:b/>
                <w:bCs/>
                <w:szCs w:val="21"/>
              </w:rPr>
              <w:t>责任单位及人员</w:t>
            </w:r>
          </w:p>
        </w:tc>
        <w:tc>
          <w:tcPr>
            <w:tcW w:w="2463" w:type="pct"/>
            <w:vAlign w:val="center"/>
          </w:tcPr>
          <w:p w14:paraId="5625B657">
            <w:pPr>
              <w:jc w:val="center"/>
              <w:rPr>
                <w:rFonts w:ascii="黑体" w:hAnsi="黑体" w:eastAsia="黑体" w:cs="黑体"/>
                <w:b/>
                <w:bCs/>
                <w:color w:val="000000"/>
                <w:szCs w:val="21"/>
              </w:rPr>
            </w:pPr>
            <w:r>
              <w:rPr>
                <w:rFonts w:hint="eastAsia" w:ascii="黑体" w:hAnsi="黑体" w:eastAsia="黑体" w:cs="黑体"/>
                <w:b/>
                <w:bCs/>
                <w:color w:val="000000"/>
                <w:szCs w:val="21"/>
              </w:rPr>
              <w:t>追究内容</w:t>
            </w:r>
          </w:p>
        </w:tc>
        <w:tc>
          <w:tcPr>
            <w:tcW w:w="1321" w:type="pct"/>
            <w:vAlign w:val="center"/>
          </w:tcPr>
          <w:p w14:paraId="163E843D">
            <w:pPr>
              <w:jc w:val="center"/>
              <w:rPr>
                <w:rFonts w:ascii="黑体" w:hAnsi="黑体" w:eastAsia="黑体" w:cs="黑体"/>
                <w:b/>
                <w:bCs/>
                <w:color w:val="000000"/>
                <w:szCs w:val="21"/>
              </w:rPr>
            </w:pPr>
            <w:r>
              <w:rPr>
                <w:rFonts w:hint="eastAsia" w:ascii="黑体" w:hAnsi="黑体" w:eastAsia="黑体" w:cs="黑体"/>
                <w:b/>
                <w:bCs/>
                <w:color w:val="000000"/>
                <w:szCs w:val="21"/>
              </w:rPr>
              <w:t>落实情况</w:t>
            </w:r>
          </w:p>
        </w:tc>
      </w:tr>
      <w:tr w14:paraId="23EAD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478" w:type="pct"/>
            <w:vAlign w:val="center"/>
          </w:tcPr>
          <w:p w14:paraId="2D3A91D1">
            <w:pPr>
              <w:jc w:val="center"/>
              <w:rPr>
                <w:rFonts w:ascii="Times New Roman" w:hAnsi="Times New Roman" w:eastAsia="宋体" w:cs="Times New Roman"/>
                <w:szCs w:val="21"/>
              </w:rPr>
            </w:pPr>
            <w:r>
              <w:rPr>
                <w:rFonts w:ascii="Times New Roman" w:hAnsi="Times New Roman" w:eastAsia="宋体" w:cs="Times New Roman"/>
                <w:szCs w:val="21"/>
              </w:rPr>
              <w:t>1</w:t>
            </w:r>
          </w:p>
        </w:tc>
        <w:tc>
          <w:tcPr>
            <w:tcW w:w="736" w:type="pct"/>
            <w:vAlign w:val="center"/>
          </w:tcPr>
          <w:p w14:paraId="39558826">
            <w:pPr>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唐**</w:t>
            </w:r>
          </w:p>
        </w:tc>
        <w:tc>
          <w:tcPr>
            <w:tcW w:w="2463" w:type="pct"/>
            <w:vAlign w:val="center"/>
          </w:tcPr>
          <w:p w14:paraId="22AF8DD4">
            <w:pPr>
              <w:jc w:val="both"/>
              <w:rPr>
                <w:rFonts w:ascii="Times New Roman" w:hAnsi="Times New Roman" w:eastAsia="宋体" w:cs="Times New Roman"/>
                <w:szCs w:val="21"/>
              </w:rPr>
            </w:pPr>
            <w:r>
              <w:rPr>
                <w:rFonts w:hint="eastAsia" w:ascii="Times New Roman" w:hAnsi="Times New Roman" w:eastAsia="宋体" w:cs="Times New Roman"/>
                <w:szCs w:val="21"/>
              </w:rPr>
              <w:t>对事故发生负有责任，其行为已触犯《中华人民共和国刑法》第一百三十三条的规定，涉嫌交通肇事罪，建议移送司法机关追究其刑事责任。</w:t>
            </w:r>
          </w:p>
        </w:tc>
        <w:tc>
          <w:tcPr>
            <w:tcW w:w="1321" w:type="pct"/>
            <w:vAlign w:val="center"/>
          </w:tcPr>
          <w:p w14:paraId="544D944A">
            <w:pPr>
              <w:jc w:val="both"/>
              <w:rPr>
                <w:rFonts w:hint="eastAsia" w:ascii="Times New Roman" w:hAnsi="Times New Roman" w:eastAsia="宋体" w:cs="Times New Roman"/>
                <w:szCs w:val="21"/>
                <w:highlight w:val="yellow"/>
                <w:lang w:eastAsia="zh-CN"/>
              </w:rPr>
            </w:pPr>
            <w:r>
              <w:rPr>
                <w:rFonts w:hint="eastAsia" w:ascii="Times New Roman" w:hAnsi="Times New Roman" w:eastAsia="宋体" w:cs="Times New Roman"/>
                <w:szCs w:val="21"/>
                <w:highlight w:val="none"/>
              </w:rPr>
              <w:t>虎门镇交管大队于2025年6月18日立案侦查，同日对唐</w:t>
            </w:r>
            <w:r>
              <w:rPr>
                <w:rFonts w:hint="eastAsia" w:ascii="Times New Roman" w:hAnsi="Times New Roman" w:eastAsia="宋体" w:cs="Times New Roman"/>
                <w:szCs w:val="21"/>
                <w:highlight w:val="none"/>
                <w:lang w:val="en-US" w:eastAsia="zh-CN"/>
              </w:rPr>
              <w:t>**进行</w:t>
            </w:r>
            <w:r>
              <w:rPr>
                <w:rFonts w:hint="eastAsia" w:ascii="Times New Roman" w:hAnsi="Times New Roman" w:eastAsia="宋体" w:cs="Times New Roman"/>
                <w:szCs w:val="21"/>
                <w:highlight w:val="none"/>
              </w:rPr>
              <w:t>刑事拘留；经东莞市第二市区人民检察院批准，于2025年7月2日执行逮捕；侦查终结后移送东莞市第二市区人民检察院审查起诉；东莞市第二市区人民检察院于2025年9月9日向东莞市第二人民法院提起公诉；东莞市第二人民法院于2025年9月30日判决被告人唐</w:t>
            </w:r>
            <w:r>
              <w:rPr>
                <w:rFonts w:hint="eastAsia" w:ascii="Times New Roman" w:hAnsi="Times New Roman" w:eastAsia="宋体" w:cs="Times New Roman"/>
                <w:szCs w:val="21"/>
                <w:highlight w:val="none"/>
                <w:lang w:val="en-US" w:eastAsia="zh-CN"/>
              </w:rPr>
              <w:t>**</w:t>
            </w:r>
            <w:r>
              <w:rPr>
                <w:rFonts w:hint="eastAsia" w:ascii="Times New Roman" w:hAnsi="Times New Roman" w:eastAsia="宋体" w:cs="Times New Roman"/>
                <w:szCs w:val="21"/>
                <w:highlight w:val="none"/>
              </w:rPr>
              <w:t>犯交通肇事罪，判处有期徒刑一年三个月（刑期自2025年6月18日起至2026年9月17日止）</w:t>
            </w:r>
            <w:r>
              <w:rPr>
                <w:rFonts w:hint="eastAsia" w:ascii="Times New Roman" w:hAnsi="Times New Roman" w:eastAsia="宋体" w:cs="Times New Roman"/>
                <w:szCs w:val="21"/>
                <w:highlight w:val="none"/>
                <w:lang w:eastAsia="zh-CN"/>
              </w:rPr>
              <w:t>。</w:t>
            </w:r>
          </w:p>
        </w:tc>
      </w:tr>
    </w:tbl>
    <w:p w14:paraId="62662994">
      <w:pPr>
        <w:keepNext w:val="0"/>
        <w:keepLines w:val="0"/>
        <w:pageBreakBefore w:val="0"/>
        <w:widowControl w:val="0"/>
        <w:kinsoku/>
        <w:wordWrap/>
        <w:overflowPunct/>
        <w:topLinePunct w:val="0"/>
        <w:autoSpaceDE/>
        <w:autoSpaceDN/>
        <w:bidi w:val="0"/>
        <w:adjustRightInd/>
        <w:snapToGrid/>
        <w:spacing w:before="63" w:beforeLines="20" w:after="63" w:afterLines="20" w:line="560" w:lineRule="exact"/>
        <w:ind w:firstLine="640" w:firstLineChars="200"/>
        <w:textAlignment w:val="auto"/>
        <w:rPr>
          <w:rFonts w:hint="eastAsia" w:ascii="Times New Roman" w:hAnsi="Times New Roman" w:eastAsia="楷体" w:cs="Times New Roman"/>
          <w:color w:val="auto"/>
          <w:sz w:val="32"/>
          <w:szCs w:val="32"/>
          <w:lang w:val="en-US" w:eastAsia="zh-CN"/>
        </w:rPr>
      </w:pPr>
    </w:p>
    <w:p w14:paraId="2FFD19D0">
      <w:pPr>
        <w:keepNext w:val="0"/>
        <w:keepLines w:val="0"/>
        <w:pageBreakBefore w:val="0"/>
        <w:widowControl w:val="0"/>
        <w:kinsoku/>
        <w:wordWrap/>
        <w:overflowPunct/>
        <w:topLinePunct w:val="0"/>
        <w:autoSpaceDE/>
        <w:autoSpaceDN/>
        <w:bidi w:val="0"/>
        <w:adjustRightInd/>
        <w:snapToGrid/>
        <w:spacing w:before="63" w:beforeLines="20" w:after="63" w:afterLines="20" w:line="560" w:lineRule="exact"/>
        <w:ind w:firstLine="640" w:firstLineChars="200"/>
        <w:textAlignment w:val="auto"/>
        <w:rPr>
          <w:rFonts w:hint="eastAsia" w:ascii="Times New Roman" w:hAnsi="Times New Roman" w:eastAsia="楷体" w:cs="Times New Roman"/>
          <w:color w:val="auto"/>
          <w:sz w:val="32"/>
          <w:szCs w:val="32"/>
          <w:lang w:val="en-US" w:eastAsia="zh-CN"/>
        </w:rPr>
      </w:pPr>
    </w:p>
    <w:p w14:paraId="4EEB1B78">
      <w:pPr>
        <w:keepNext w:val="0"/>
        <w:keepLines w:val="0"/>
        <w:pageBreakBefore w:val="0"/>
        <w:widowControl w:val="0"/>
        <w:kinsoku/>
        <w:wordWrap/>
        <w:overflowPunct/>
        <w:topLinePunct w:val="0"/>
        <w:autoSpaceDE/>
        <w:autoSpaceDN/>
        <w:bidi w:val="0"/>
        <w:adjustRightInd/>
        <w:snapToGrid/>
        <w:spacing w:before="63" w:beforeLines="20" w:after="63" w:afterLines="20" w:line="560" w:lineRule="exact"/>
        <w:ind w:firstLine="640" w:firstLineChars="200"/>
        <w:textAlignment w:val="auto"/>
        <w:rPr>
          <w:rFonts w:hint="eastAsia" w:ascii="Times New Roman" w:hAnsi="Times New Roman" w:eastAsia="楷体" w:cs="Times New Roman"/>
          <w:color w:val="auto"/>
          <w:sz w:val="32"/>
          <w:szCs w:val="32"/>
          <w:lang w:val="en-US" w:eastAsia="zh-CN"/>
        </w:rPr>
      </w:pPr>
    </w:p>
    <w:p w14:paraId="0889F361">
      <w:pPr>
        <w:keepNext w:val="0"/>
        <w:keepLines w:val="0"/>
        <w:pageBreakBefore w:val="0"/>
        <w:widowControl w:val="0"/>
        <w:kinsoku/>
        <w:wordWrap/>
        <w:overflowPunct/>
        <w:topLinePunct w:val="0"/>
        <w:autoSpaceDE/>
        <w:autoSpaceDN/>
        <w:bidi w:val="0"/>
        <w:adjustRightInd/>
        <w:snapToGrid/>
        <w:spacing w:before="63" w:beforeLines="20" w:after="63" w:afterLines="20" w:line="560" w:lineRule="exact"/>
        <w:ind w:firstLine="640" w:firstLineChars="200"/>
        <w:textAlignment w:val="auto"/>
        <w:rPr>
          <w:rFonts w:hint="eastAsia" w:ascii="Times New Roman" w:hAnsi="Times New Roman" w:eastAsia="楷体" w:cs="Times New Roman"/>
          <w:color w:val="auto"/>
          <w:sz w:val="32"/>
          <w:szCs w:val="32"/>
          <w:lang w:val="en-US" w:eastAsia="zh-CN"/>
        </w:rPr>
      </w:pPr>
    </w:p>
    <w:p w14:paraId="476178BC">
      <w:pPr>
        <w:keepNext w:val="0"/>
        <w:keepLines w:val="0"/>
        <w:pageBreakBefore w:val="0"/>
        <w:widowControl w:val="0"/>
        <w:kinsoku/>
        <w:wordWrap/>
        <w:overflowPunct/>
        <w:topLinePunct w:val="0"/>
        <w:autoSpaceDE/>
        <w:autoSpaceDN/>
        <w:bidi w:val="0"/>
        <w:adjustRightInd/>
        <w:snapToGrid/>
        <w:spacing w:before="63" w:beforeLines="20" w:after="63" w:afterLines="20" w:line="560" w:lineRule="exact"/>
        <w:ind w:firstLine="640" w:firstLineChars="200"/>
        <w:textAlignment w:val="auto"/>
        <w:rPr>
          <w:rFonts w:hint="eastAsia" w:ascii="Times New Roman" w:hAnsi="Times New Roman" w:eastAsia="楷体" w:cs="Times New Roman"/>
          <w:color w:val="auto"/>
          <w:sz w:val="32"/>
          <w:szCs w:val="32"/>
          <w:lang w:val="en-US" w:eastAsia="zh-CN"/>
        </w:rPr>
      </w:pPr>
      <w:r>
        <w:rPr>
          <w:rFonts w:hint="eastAsia" w:ascii="Times New Roman" w:hAnsi="Times New Roman" w:eastAsia="楷体" w:cs="Times New Roman"/>
          <w:color w:val="auto"/>
          <w:sz w:val="32"/>
          <w:szCs w:val="32"/>
          <w:lang w:val="en-US" w:eastAsia="zh-CN"/>
        </w:rPr>
        <w:t>（二）行政处罚追究落实情况</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1267"/>
        <w:gridCol w:w="4162"/>
        <w:gridCol w:w="2276"/>
      </w:tblGrid>
      <w:tr w14:paraId="6F979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blHeader/>
          <w:jc w:val="center"/>
        </w:trPr>
        <w:tc>
          <w:tcPr>
            <w:tcW w:w="479" w:type="pct"/>
            <w:vAlign w:val="center"/>
          </w:tcPr>
          <w:p w14:paraId="6807881C">
            <w:pPr>
              <w:jc w:val="center"/>
              <w:rPr>
                <w:rFonts w:ascii="黑体" w:hAnsi="黑体" w:eastAsia="黑体" w:cs="黑体"/>
                <w:b/>
                <w:bCs/>
                <w:szCs w:val="21"/>
              </w:rPr>
            </w:pPr>
            <w:r>
              <w:rPr>
                <w:rFonts w:hint="eastAsia" w:ascii="黑体" w:hAnsi="黑体" w:eastAsia="黑体" w:cs="黑体"/>
                <w:b/>
                <w:bCs/>
                <w:szCs w:val="21"/>
              </w:rPr>
              <w:t>序号</w:t>
            </w:r>
          </w:p>
        </w:tc>
        <w:tc>
          <w:tcPr>
            <w:tcW w:w="743" w:type="pct"/>
            <w:vAlign w:val="center"/>
          </w:tcPr>
          <w:p w14:paraId="7DFC246B">
            <w:pPr>
              <w:jc w:val="center"/>
              <w:rPr>
                <w:rFonts w:ascii="黑体" w:hAnsi="黑体" w:eastAsia="黑体" w:cs="黑体"/>
                <w:b/>
                <w:bCs/>
                <w:sz w:val="32"/>
                <w:szCs w:val="32"/>
              </w:rPr>
            </w:pPr>
            <w:r>
              <w:rPr>
                <w:rFonts w:hint="eastAsia" w:ascii="黑体" w:hAnsi="黑体" w:eastAsia="黑体" w:cs="黑体"/>
                <w:b/>
                <w:bCs/>
                <w:szCs w:val="21"/>
              </w:rPr>
              <w:t>责任单位及人员</w:t>
            </w:r>
          </w:p>
        </w:tc>
        <w:tc>
          <w:tcPr>
            <w:tcW w:w="2441" w:type="pct"/>
            <w:vAlign w:val="center"/>
          </w:tcPr>
          <w:p w14:paraId="17CF3DA3">
            <w:pPr>
              <w:jc w:val="center"/>
              <w:rPr>
                <w:rFonts w:ascii="黑体" w:hAnsi="黑体" w:eastAsia="黑体" w:cs="黑体"/>
                <w:b/>
                <w:bCs/>
                <w:color w:val="000000"/>
                <w:szCs w:val="21"/>
              </w:rPr>
            </w:pPr>
            <w:r>
              <w:rPr>
                <w:rFonts w:hint="eastAsia" w:ascii="黑体" w:hAnsi="黑体" w:eastAsia="黑体" w:cs="黑体"/>
                <w:b/>
                <w:bCs/>
                <w:color w:val="000000"/>
                <w:szCs w:val="21"/>
              </w:rPr>
              <w:t>追究内容</w:t>
            </w:r>
          </w:p>
        </w:tc>
        <w:tc>
          <w:tcPr>
            <w:tcW w:w="1335" w:type="pct"/>
            <w:vAlign w:val="center"/>
          </w:tcPr>
          <w:p w14:paraId="638684B8">
            <w:pPr>
              <w:jc w:val="center"/>
              <w:rPr>
                <w:rFonts w:ascii="黑体" w:hAnsi="黑体" w:eastAsia="黑体" w:cs="黑体"/>
                <w:b/>
                <w:bCs/>
                <w:color w:val="000000"/>
                <w:szCs w:val="21"/>
              </w:rPr>
            </w:pPr>
            <w:r>
              <w:rPr>
                <w:rFonts w:hint="eastAsia" w:ascii="黑体" w:hAnsi="黑体" w:eastAsia="黑体" w:cs="黑体"/>
                <w:b/>
                <w:bCs/>
                <w:color w:val="000000"/>
                <w:szCs w:val="21"/>
              </w:rPr>
              <w:t>落实情况</w:t>
            </w:r>
          </w:p>
        </w:tc>
      </w:tr>
      <w:tr w14:paraId="4B056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9" w:type="pct"/>
            <w:vAlign w:val="center"/>
          </w:tcPr>
          <w:p w14:paraId="70F6326B">
            <w:pPr>
              <w:jc w:val="center"/>
              <w:rPr>
                <w:rFonts w:ascii="Times New Roman" w:hAnsi="Times New Roman" w:eastAsia="宋体" w:cs="Times New Roman"/>
                <w:szCs w:val="21"/>
              </w:rPr>
            </w:pPr>
            <w:r>
              <w:rPr>
                <w:rFonts w:ascii="Times New Roman" w:hAnsi="Times New Roman" w:eastAsia="宋体" w:cs="Times New Roman"/>
                <w:szCs w:val="21"/>
              </w:rPr>
              <w:t>1</w:t>
            </w:r>
          </w:p>
        </w:tc>
        <w:tc>
          <w:tcPr>
            <w:tcW w:w="743" w:type="pct"/>
            <w:vAlign w:val="center"/>
          </w:tcPr>
          <w:p w14:paraId="15456A69">
            <w:pPr>
              <w:jc w:val="center"/>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东莞市恒辉运输有限公司</w:t>
            </w:r>
          </w:p>
        </w:tc>
        <w:tc>
          <w:tcPr>
            <w:tcW w:w="2441" w:type="pct"/>
            <w:vAlign w:val="center"/>
          </w:tcPr>
          <w:p w14:paraId="31F30015">
            <w:pPr>
              <w:jc w:val="both"/>
              <w:rPr>
                <w:rFonts w:hint="eastAsia" w:ascii="Times New Roman" w:hAnsi="Times New Roman" w:eastAsia="宋体" w:cs="Times New Roman"/>
                <w:szCs w:val="21"/>
                <w:lang w:eastAsia="zh-CN"/>
              </w:rPr>
            </w:pPr>
            <w:r>
              <w:rPr>
                <w:rFonts w:hint="eastAsia" w:ascii="Times New Roman" w:hAnsi="Times New Roman" w:eastAsia="宋体" w:cs="Times New Roman"/>
                <w:szCs w:val="21"/>
              </w:rPr>
              <w:t>违反了《中华人民共和国安全生产法》第二十八条第一款、第四十一条第二款，建议由属地交通运输部门对恒辉公司依法进行处罚。</w:t>
            </w:r>
          </w:p>
        </w:tc>
        <w:tc>
          <w:tcPr>
            <w:tcW w:w="1335" w:type="pct"/>
            <w:vAlign w:val="center"/>
          </w:tcPr>
          <w:p w14:paraId="594007AB">
            <w:pPr>
              <w:keepNext w:val="0"/>
              <w:keepLines w:val="0"/>
              <w:pageBreakBefore w:val="0"/>
              <w:widowControl w:val="0"/>
              <w:kinsoku/>
              <w:wordWrap/>
              <w:overflowPunct/>
              <w:topLinePunct w:val="0"/>
              <w:autoSpaceDE/>
              <w:autoSpaceDN/>
              <w:bidi w:val="0"/>
              <w:adjustRightInd/>
              <w:snapToGrid/>
              <w:jc w:val="both"/>
              <w:textAlignment w:val="auto"/>
              <w:rPr>
                <w:rFonts w:ascii="Times New Roman" w:hAnsi="Times New Roman" w:eastAsia="宋体" w:cs="Times New Roman"/>
                <w:b/>
                <w:bCs/>
                <w:szCs w:val="21"/>
                <w:highlight w:val="none"/>
              </w:rPr>
            </w:pPr>
            <w:r>
              <w:rPr>
                <w:rFonts w:hint="eastAsia" w:ascii="Times New Roman" w:hAnsi="Times New Roman" w:eastAsia="宋体" w:cs="Times New Roman"/>
                <w:w w:val="100"/>
                <w:sz w:val="21"/>
                <w:szCs w:val="21"/>
                <w:highlight w:val="none"/>
              </w:rPr>
              <w:t>东莞市交通运输局沙田分局于2025年5月14日对恒辉公司开展安全生产监督检查，该企业能</w:t>
            </w:r>
            <w:r>
              <w:rPr>
                <w:rFonts w:hint="eastAsia" w:ascii="Times New Roman" w:hAnsi="Times New Roman" w:eastAsia="宋体" w:cs="Times New Roman"/>
                <w:w w:val="100"/>
                <w:sz w:val="21"/>
                <w:szCs w:val="21"/>
                <w:highlight w:val="none"/>
                <w:lang w:eastAsia="zh-CN"/>
              </w:rPr>
              <w:t>够</w:t>
            </w:r>
            <w:r>
              <w:rPr>
                <w:rFonts w:hint="eastAsia" w:ascii="Times New Roman" w:hAnsi="Times New Roman" w:eastAsia="宋体" w:cs="Times New Roman"/>
                <w:w w:val="100"/>
                <w:sz w:val="21"/>
                <w:szCs w:val="21"/>
                <w:highlight w:val="none"/>
              </w:rPr>
              <w:t>提供相关安全管理制度和台账。经调查，该企业近年来已依法开展从业人员教育培训和隐患排查治理工作，暂没有证据对其违反第二十八条第一款、第四十一条第二款的行为进行行政处罚，故不予立案处罚。</w:t>
            </w:r>
          </w:p>
        </w:tc>
      </w:tr>
      <w:tr w14:paraId="1488E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9" w:type="pct"/>
            <w:vAlign w:val="center"/>
          </w:tcPr>
          <w:p w14:paraId="6CD91A09">
            <w:pPr>
              <w:jc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2</w:t>
            </w:r>
          </w:p>
        </w:tc>
        <w:tc>
          <w:tcPr>
            <w:tcW w:w="743" w:type="pct"/>
            <w:vAlign w:val="center"/>
          </w:tcPr>
          <w:p w14:paraId="11F14F6C">
            <w:pPr>
              <w:jc w:val="center"/>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冯**</w:t>
            </w:r>
          </w:p>
        </w:tc>
        <w:tc>
          <w:tcPr>
            <w:tcW w:w="2441" w:type="pct"/>
            <w:vAlign w:val="center"/>
          </w:tcPr>
          <w:p w14:paraId="0B399595">
            <w:pPr>
              <w:jc w:val="both"/>
              <w:rPr>
                <w:rFonts w:hint="eastAsia" w:ascii="Times New Roman" w:hAnsi="Times New Roman" w:eastAsia="宋体" w:cs="Times New Roman"/>
                <w:szCs w:val="21"/>
                <w:lang w:eastAsia="zh-CN"/>
              </w:rPr>
            </w:pPr>
            <w:r>
              <w:rPr>
                <w:rFonts w:hint="eastAsia" w:ascii="Times New Roman" w:hAnsi="Times New Roman" w:eastAsia="宋体" w:cs="Times New Roman"/>
                <w:szCs w:val="21"/>
              </w:rPr>
              <w:t>作为恒辉公司的主要负责人，未组织制定并实施本单位安全生产教育和培训计划，未督促、检查本单位的安全生产工作，未及时消除生产安全事故隐患，违反了《中华人民共和国安全生产法》第二十一条第（三）（五）项，建议由属地交通运输部门对其依法进行处罚。</w:t>
            </w:r>
          </w:p>
        </w:tc>
        <w:tc>
          <w:tcPr>
            <w:tcW w:w="1335" w:type="pct"/>
            <w:vAlign w:val="center"/>
          </w:tcPr>
          <w:p w14:paraId="287AA67F">
            <w:pPr>
              <w:keepNext w:val="0"/>
              <w:keepLines w:val="0"/>
              <w:pageBreakBefore w:val="0"/>
              <w:widowControl w:val="0"/>
              <w:kinsoku/>
              <w:wordWrap/>
              <w:overflowPunct/>
              <w:topLinePunct w:val="0"/>
              <w:autoSpaceDE/>
              <w:autoSpaceDN/>
              <w:bidi w:val="0"/>
              <w:adjustRightInd/>
              <w:snapToGrid/>
              <w:jc w:val="both"/>
              <w:textAlignment w:val="auto"/>
              <w:rPr>
                <w:rFonts w:hint="eastAsia" w:ascii="Times New Roman" w:hAnsi="Times New Roman" w:eastAsia="宋体" w:cs="Times New Roman"/>
                <w:szCs w:val="21"/>
                <w:highlight w:val="none"/>
              </w:rPr>
            </w:pPr>
            <w:r>
              <w:rPr>
                <w:rFonts w:hint="eastAsia" w:ascii="Times New Roman" w:hAnsi="Times New Roman" w:eastAsia="宋体" w:cs="Times New Roman"/>
                <w:w w:val="100"/>
                <w:sz w:val="21"/>
                <w:szCs w:val="21"/>
                <w:highlight w:val="none"/>
              </w:rPr>
              <w:t>东莞市交通运输局沙田分局于2025年7月11日对冯</w:t>
            </w:r>
            <w:r>
              <w:rPr>
                <w:rFonts w:hint="eastAsia" w:ascii="Times New Roman" w:hAnsi="Times New Roman" w:eastAsia="宋体" w:cs="Times New Roman"/>
                <w:w w:val="100"/>
                <w:sz w:val="21"/>
                <w:szCs w:val="21"/>
                <w:highlight w:val="none"/>
                <w:lang w:val="en-US" w:eastAsia="zh-CN"/>
              </w:rPr>
              <w:t>**</w:t>
            </w:r>
            <w:r>
              <w:rPr>
                <w:rFonts w:hint="eastAsia" w:ascii="Times New Roman" w:hAnsi="Times New Roman" w:eastAsia="宋体" w:cs="Times New Roman"/>
                <w:w w:val="100"/>
                <w:sz w:val="21"/>
                <w:szCs w:val="21"/>
                <w:highlight w:val="none"/>
              </w:rPr>
              <w:t>立案处罚，作出罚款人民币伍万元整（¥50,000）的行政处罚。</w:t>
            </w:r>
          </w:p>
        </w:tc>
      </w:tr>
      <w:tr w14:paraId="168C2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9" w:type="pct"/>
            <w:vAlign w:val="center"/>
          </w:tcPr>
          <w:p w14:paraId="4191F60A">
            <w:pPr>
              <w:jc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3</w:t>
            </w:r>
          </w:p>
        </w:tc>
        <w:tc>
          <w:tcPr>
            <w:tcW w:w="743" w:type="pct"/>
            <w:vAlign w:val="center"/>
          </w:tcPr>
          <w:p w14:paraId="31B7C528">
            <w:pPr>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eastAsia="zh-CN"/>
              </w:rPr>
              <w:t>陆</w:t>
            </w:r>
            <w:r>
              <w:rPr>
                <w:rFonts w:hint="eastAsia" w:ascii="Times New Roman" w:hAnsi="Times New Roman" w:eastAsia="宋体" w:cs="Times New Roman"/>
                <w:szCs w:val="21"/>
                <w:lang w:val="en-US" w:eastAsia="zh-CN"/>
              </w:rPr>
              <w:t>**</w:t>
            </w:r>
          </w:p>
        </w:tc>
        <w:tc>
          <w:tcPr>
            <w:tcW w:w="2441" w:type="pct"/>
            <w:vAlign w:val="center"/>
          </w:tcPr>
          <w:p w14:paraId="0D7125B8">
            <w:pPr>
              <w:jc w:val="both"/>
              <w:rPr>
                <w:rFonts w:hint="eastAsia" w:ascii="Times New Roman" w:hAnsi="Times New Roman" w:eastAsia="宋体" w:cs="Times New Roman"/>
                <w:szCs w:val="21"/>
              </w:rPr>
            </w:pPr>
            <w:r>
              <w:rPr>
                <w:rFonts w:hint="eastAsia" w:ascii="Times New Roman" w:hAnsi="Times New Roman" w:eastAsia="宋体" w:cs="Times New Roman"/>
                <w:szCs w:val="21"/>
              </w:rPr>
              <w:t>作为恒辉公司的安全生产管理人员，未组织参与本单位安全生产教育和培训，未及时排查生产安全事故隐患，违反了《中华人民共和国安全生产法》第二十五条第一款第（二）（五）项，建议由属地交通运输部门对其依法进行处罚。</w:t>
            </w:r>
          </w:p>
        </w:tc>
        <w:tc>
          <w:tcPr>
            <w:tcW w:w="1335" w:type="pct"/>
            <w:vAlign w:val="center"/>
          </w:tcPr>
          <w:p w14:paraId="102ACD48">
            <w:pPr>
              <w:keepNext w:val="0"/>
              <w:keepLines w:val="0"/>
              <w:pageBreakBefore w:val="0"/>
              <w:widowControl w:val="0"/>
              <w:kinsoku/>
              <w:wordWrap/>
              <w:overflowPunct/>
              <w:topLinePunct w:val="0"/>
              <w:autoSpaceDE/>
              <w:autoSpaceDN/>
              <w:bidi w:val="0"/>
              <w:adjustRightInd/>
              <w:snapToGrid/>
              <w:jc w:val="both"/>
              <w:textAlignment w:val="auto"/>
              <w:rPr>
                <w:rFonts w:hint="eastAsia" w:ascii="Times New Roman" w:hAnsi="Times New Roman" w:eastAsia="宋体" w:cs="Times New Roman"/>
                <w:w w:val="100"/>
                <w:sz w:val="21"/>
                <w:szCs w:val="21"/>
                <w:highlight w:val="none"/>
                <w:lang w:eastAsia="zh-CN"/>
              </w:rPr>
            </w:pPr>
            <w:r>
              <w:rPr>
                <w:rFonts w:hint="eastAsia" w:ascii="Times New Roman" w:hAnsi="Times New Roman" w:eastAsia="宋体" w:cs="Times New Roman"/>
                <w:w w:val="100"/>
                <w:sz w:val="21"/>
                <w:szCs w:val="21"/>
                <w:highlight w:val="none"/>
              </w:rPr>
              <w:t>东莞市交通运输局沙田分局对恒辉公司安全管理员陆**未组织参与安全生产教育和培训、未及时排查生产安全事故隐患的行为进行调查核实，鉴于陆**事故后已立即离职且长期联系不上，经督促企业多方查找及联合公安部门追踪未果，依法对陆**不予另立案处罚。</w:t>
            </w:r>
          </w:p>
        </w:tc>
      </w:tr>
    </w:tbl>
    <w:p w14:paraId="01E98B84">
      <w:pPr>
        <w:keepNext w:val="0"/>
        <w:keepLines w:val="0"/>
        <w:pageBreakBefore w:val="0"/>
        <w:widowControl w:val="0"/>
        <w:kinsoku/>
        <w:wordWrap/>
        <w:overflowPunct/>
        <w:topLinePunct w:val="0"/>
        <w:autoSpaceDE/>
        <w:autoSpaceDN/>
        <w:bidi w:val="0"/>
        <w:adjustRightInd/>
        <w:snapToGrid/>
        <w:spacing w:before="63" w:beforeLines="20" w:after="63" w:afterLines="20" w:line="560" w:lineRule="exact"/>
        <w:ind w:firstLine="640" w:firstLineChars="200"/>
        <w:textAlignment w:val="auto"/>
        <w:rPr>
          <w:rFonts w:hint="eastAsia" w:ascii="Times New Roman" w:hAnsi="Times New Roman" w:eastAsia="楷体" w:cs="Times New Roman"/>
          <w:color w:val="auto"/>
          <w:sz w:val="32"/>
          <w:szCs w:val="32"/>
          <w:lang w:val="en-US" w:eastAsia="zh-CN"/>
        </w:rPr>
      </w:pPr>
      <w:r>
        <w:rPr>
          <w:rFonts w:hint="eastAsia" w:ascii="Times New Roman" w:hAnsi="Times New Roman" w:eastAsia="楷体" w:cs="Times New Roman"/>
          <w:color w:val="auto"/>
          <w:sz w:val="32"/>
          <w:szCs w:val="32"/>
          <w:lang w:val="en-US" w:eastAsia="zh-CN"/>
        </w:rPr>
        <w:t>（三）其他处理建议的责任追究落实情况</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8"/>
        <w:gridCol w:w="1724"/>
        <w:gridCol w:w="3778"/>
        <w:gridCol w:w="2132"/>
      </w:tblGrid>
      <w:tr w14:paraId="29A96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blHeader/>
        </w:trPr>
        <w:tc>
          <w:tcPr>
            <w:tcW w:w="521" w:type="pct"/>
            <w:vAlign w:val="center"/>
          </w:tcPr>
          <w:p w14:paraId="0E625F50">
            <w:pPr>
              <w:jc w:val="center"/>
              <w:rPr>
                <w:rFonts w:ascii="Times New Roman" w:hAnsi="Times New Roman" w:cs="Times New Roman"/>
                <w:b/>
                <w:bCs/>
                <w:szCs w:val="21"/>
              </w:rPr>
            </w:pPr>
            <w:r>
              <w:rPr>
                <w:rFonts w:hint="eastAsia" w:ascii="Times New Roman" w:hAnsi="Times New Roman" w:cs="Times New Roman"/>
                <w:b/>
                <w:bCs/>
                <w:szCs w:val="21"/>
              </w:rPr>
              <w:t>序号</w:t>
            </w:r>
          </w:p>
        </w:tc>
        <w:tc>
          <w:tcPr>
            <w:tcW w:w="1011" w:type="pct"/>
            <w:vAlign w:val="center"/>
          </w:tcPr>
          <w:p w14:paraId="1B664C71">
            <w:pPr>
              <w:jc w:val="center"/>
              <w:rPr>
                <w:rFonts w:ascii="Times New Roman" w:hAnsi="Times New Roman" w:eastAsia="楷体" w:cs="Times New Roman"/>
                <w:b/>
                <w:bCs/>
                <w:sz w:val="32"/>
                <w:szCs w:val="32"/>
              </w:rPr>
            </w:pPr>
            <w:r>
              <w:rPr>
                <w:rFonts w:hint="eastAsia" w:ascii="Times New Roman" w:hAnsi="Times New Roman" w:cs="Times New Roman"/>
                <w:b/>
                <w:bCs/>
                <w:szCs w:val="21"/>
              </w:rPr>
              <w:t>责任单位</w:t>
            </w:r>
          </w:p>
        </w:tc>
        <w:tc>
          <w:tcPr>
            <w:tcW w:w="2216" w:type="pct"/>
            <w:vAlign w:val="center"/>
          </w:tcPr>
          <w:p w14:paraId="01834334">
            <w:pPr>
              <w:jc w:val="center"/>
              <w:rPr>
                <w:rFonts w:ascii="Times New Roman" w:hAnsi="Times New Roman" w:cs="Times New Roman"/>
                <w:b/>
                <w:bCs/>
                <w:color w:val="000000"/>
                <w:szCs w:val="21"/>
              </w:rPr>
            </w:pPr>
            <w:r>
              <w:rPr>
                <w:rFonts w:hint="eastAsia" w:ascii="Times New Roman" w:hAnsi="Times New Roman" w:cs="Times New Roman"/>
                <w:b/>
                <w:bCs/>
                <w:color w:val="000000"/>
                <w:szCs w:val="21"/>
              </w:rPr>
              <w:t>追究内容</w:t>
            </w:r>
          </w:p>
        </w:tc>
        <w:tc>
          <w:tcPr>
            <w:tcW w:w="1250" w:type="pct"/>
            <w:vAlign w:val="center"/>
          </w:tcPr>
          <w:p w14:paraId="55348E05">
            <w:pPr>
              <w:jc w:val="center"/>
              <w:rPr>
                <w:rFonts w:ascii="Times New Roman" w:hAnsi="Times New Roman" w:cs="Times New Roman"/>
                <w:b/>
                <w:bCs/>
                <w:color w:val="000000"/>
                <w:szCs w:val="21"/>
              </w:rPr>
            </w:pPr>
            <w:r>
              <w:rPr>
                <w:rFonts w:hint="eastAsia" w:ascii="Times New Roman" w:hAnsi="Times New Roman" w:cs="Times New Roman"/>
                <w:b/>
                <w:bCs/>
                <w:color w:val="000000"/>
                <w:szCs w:val="21"/>
              </w:rPr>
              <w:t>落实情况</w:t>
            </w:r>
          </w:p>
        </w:tc>
      </w:tr>
      <w:tr w14:paraId="38DB1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21" w:type="pct"/>
            <w:vAlign w:val="center"/>
          </w:tcPr>
          <w:p w14:paraId="45DE6820">
            <w:pPr>
              <w:jc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1</w:t>
            </w:r>
          </w:p>
        </w:tc>
        <w:tc>
          <w:tcPr>
            <w:tcW w:w="1011" w:type="pct"/>
            <w:vAlign w:val="center"/>
          </w:tcPr>
          <w:p w14:paraId="2DDF23BE">
            <w:pPr>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恒辉公司主要负责人冯**</w:t>
            </w:r>
          </w:p>
        </w:tc>
        <w:tc>
          <w:tcPr>
            <w:tcW w:w="2216" w:type="pct"/>
            <w:vAlign w:val="center"/>
          </w:tcPr>
          <w:p w14:paraId="0B14C619">
            <w:pPr>
              <w:jc w:val="both"/>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建议东莞市交通运输局沙田分局对恒辉公司主要负责人冯**进行约谈，要求深刻吸取事故教训，严格落实本单位的安全生产责任制，有效防范交通事故。</w:t>
            </w:r>
          </w:p>
        </w:tc>
        <w:tc>
          <w:tcPr>
            <w:tcW w:w="1250" w:type="pct"/>
            <w:vAlign w:val="center"/>
          </w:tcPr>
          <w:p w14:paraId="37E25DFE">
            <w:pPr>
              <w:jc w:val="both"/>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东莞市交通运输局沙田分局已于2025年5月15日、6月10日两次对冯**进行约谈，要求其深刻吸取事故教训，严格落实安全生产责任制和事故后整改。</w:t>
            </w:r>
          </w:p>
        </w:tc>
      </w:tr>
    </w:tbl>
    <w:p w14:paraId="46284160">
      <w:pPr>
        <w:widowControl/>
        <w:spacing w:line="560" w:lineRule="exact"/>
        <w:ind w:firstLine="640" w:firstLineChars="200"/>
        <w:rPr>
          <w:rFonts w:hint="eastAsia" w:ascii="Times New Roman" w:hAnsi="Times New Roman" w:eastAsia="黑体" w:cs="Times New Roman"/>
          <w:color w:val="auto"/>
          <w:sz w:val="32"/>
          <w:szCs w:val="32"/>
          <w:lang w:eastAsia="zh-CN"/>
        </w:rPr>
      </w:pPr>
      <w:r>
        <w:rPr>
          <w:rFonts w:hint="eastAsia" w:ascii="Times New Roman" w:hAnsi="Times New Roman" w:eastAsia="黑体" w:cs="Times New Roman"/>
          <w:color w:val="auto"/>
          <w:sz w:val="32"/>
          <w:szCs w:val="32"/>
          <w:lang w:eastAsia="zh-CN"/>
        </w:rPr>
        <w:t>三、事故防范整改措施落实情况</w:t>
      </w:r>
    </w:p>
    <w:p w14:paraId="2C89A0AE">
      <w:pPr>
        <w:keepNext w:val="0"/>
        <w:keepLines w:val="0"/>
        <w:pageBreakBefore w:val="0"/>
        <w:widowControl w:val="0"/>
        <w:kinsoku/>
        <w:wordWrap/>
        <w:overflowPunct/>
        <w:topLinePunct w:val="0"/>
        <w:autoSpaceDE/>
        <w:autoSpaceDN/>
        <w:bidi w:val="0"/>
        <w:adjustRightInd/>
        <w:snapToGrid/>
        <w:spacing w:before="63" w:beforeLines="20" w:after="63" w:afterLines="20" w:line="560" w:lineRule="exact"/>
        <w:ind w:firstLine="640" w:firstLineChars="200"/>
        <w:textAlignment w:val="auto"/>
        <w:rPr>
          <w:rFonts w:ascii="Times New Roman" w:hAnsi="Times New Roman" w:eastAsia="仿宋_GB2312" w:cs="Times New Roman"/>
          <w:color w:val="000000"/>
          <w:kern w:val="0"/>
          <w:sz w:val="32"/>
          <w:szCs w:val="32"/>
        </w:rPr>
      </w:pPr>
      <w:r>
        <w:rPr>
          <w:rFonts w:hint="eastAsia" w:ascii="Times New Roman" w:hAnsi="Times New Roman" w:eastAsia="楷体" w:cs="Times New Roman"/>
          <w:color w:val="auto"/>
          <w:sz w:val="32"/>
          <w:szCs w:val="32"/>
          <w:lang w:val="en-US" w:eastAsia="zh-CN"/>
        </w:rPr>
        <w:t>东莞市交通运输局沙田分局。</w:t>
      </w:r>
      <w:r>
        <w:rPr>
          <w:rFonts w:hint="eastAsia" w:ascii="Times New Roman" w:hAnsi="Times New Roman" w:eastAsia="仿宋_GB2312" w:cs="Times New Roman"/>
          <w:b/>
          <w:color w:val="000000"/>
          <w:kern w:val="0"/>
          <w:sz w:val="32"/>
          <w:szCs w:val="32"/>
          <w:lang w:eastAsia="zh-CN"/>
        </w:rPr>
        <w:t>一是</w:t>
      </w:r>
      <w:r>
        <w:rPr>
          <w:rFonts w:hint="eastAsia" w:ascii="Times New Roman" w:hAnsi="Times New Roman" w:eastAsia="仿宋_GB2312" w:cs="Times New Roman"/>
          <w:b w:val="0"/>
          <w:bCs/>
          <w:color w:val="000000"/>
          <w:kern w:val="0"/>
          <w:sz w:val="32"/>
          <w:szCs w:val="32"/>
          <w:lang w:eastAsia="zh-CN"/>
        </w:rPr>
        <w:t>事故当日即对恒辉公司开展安全生产监督检查，责令车辆全面停运15天，印发整改通知书督促企业落实事故后“三个必须”要求及监督检查问题整改，恒辉公司于</w:t>
      </w:r>
      <w:r>
        <w:rPr>
          <w:rFonts w:hint="eastAsia" w:ascii="Times New Roman" w:hAnsi="Times New Roman" w:eastAsia="仿宋_GB2312" w:cs="Times New Roman"/>
          <w:b w:val="0"/>
          <w:bCs/>
          <w:color w:val="000000"/>
          <w:kern w:val="0"/>
          <w:sz w:val="32"/>
          <w:szCs w:val="32"/>
          <w:lang w:val="en-US" w:eastAsia="zh-CN"/>
        </w:rPr>
        <w:t>2025年</w:t>
      </w:r>
      <w:r>
        <w:rPr>
          <w:rFonts w:hint="eastAsia" w:ascii="Times New Roman" w:hAnsi="Times New Roman" w:eastAsia="仿宋_GB2312" w:cs="Times New Roman"/>
          <w:b w:val="0"/>
          <w:bCs/>
          <w:color w:val="000000"/>
          <w:kern w:val="0"/>
          <w:sz w:val="32"/>
          <w:szCs w:val="32"/>
          <w:lang w:eastAsia="zh-CN"/>
        </w:rPr>
        <w:t>5月21日完成存在问题整改，6月12日全面落实“三个必须”整改工作。</w:t>
      </w:r>
      <w:r>
        <w:rPr>
          <w:rFonts w:hint="eastAsia" w:ascii="Times New Roman" w:hAnsi="Times New Roman" w:eastAsia="仿宋_GB2312" w:cs="Times New Roman"/>
          <w:b/>
          <w:color w:val="000000"/>
          <w:kern w:val="0"/>
          <w:sz w:val="32"/>
          <w:szCs w:val="32"/>
          <w:lang w:eastAsia="zh-CN"/>
        </w:rPr>
        <w:t>二是</w:t>
      </w:r>
      <w:r>
        <w:rPr>
          <w:rFonts w:hint="eastAsia" w:ascii="Times New Roman" w:hAnsi="Times New Roman" w:eastAsia="仿宋_GB2312" w:cs="Times New Roman"/>
          <w:color w:val="000000"/>
          <w:kern w:val="0"/>
          <w:sz w:val="32"/>
          <w:szCs w:val="32"/>
        </w:rPr>
        <w:t>分别于</w:t>
      </w:r>
      <w:r>
        <w:rPr>
          <w:rFonts w:hint="eastAsia" w:ascii="Times New Roman" w:hAnsi="Times New Roman" w:eastAsia="仿宋_GB2312" w:cs="Times New Roman"/>
          <w:color w:val="000000"/>
          <w:kern w:val="0"/>
          <w:sz w:val="32"/>
          <w:szCs w:val="32"/>
          <w:lang w:val="en-US" w:eastAsia="zh-CN"/>
        </w:rPr>
        <w:t>2025年</w:t>
      </w:r>
      <w:r>
        <w:rPr>
          <w:rFonts w:hint="eastAsia" w:ascii="Times New Roman" w:hAnsi="Times New Roman" w:eastAsia="仿宋_GB2312" w:cs="Times New Roman"/>
          <w:color w:val="000000"/>
          <w:kern w:val="0"/>
          <w:sz w:val="32"/>
          <w:szCs w:val="32"/>
        </w:rPr>
        <w:t>5月16日、6月10日两次约谈企业主要负责人，督促其深刻吸取事故教训，严格落实安全生产责任制和整改措施；5月16日联合沙田交警大队组织全体驾驶员开展安全再教育培训，围绕典型事故案例、重型货车防范十大道路交通安全风险、动态监控管理、安全生产法律法规及重大事故隐患排查整治等内容进行宣讲教育，切实提升从业人员安全意识和防御驾驶技能，严格落实右转必停要求，做到安全文明行车。</w:t>
      </w:r>
      <w:r>
        <w:rPr>
          <w:rFonts w:hint="eastAsia" w:ascii="Times New Roman" w:hAnsi="Times New Roman" w:eastAsia="仿宋_GB2312" w:cs="Times New Roman"/>
          <w:b/>
          <w:color w:val="000000"/>
          <w:kern w:val="0"/>
          <w:sz w:val="32"/>
          <w:szCs w:val="32"/>
          <w:lang w:eastAsia="zh-CN"/>
        </w:rPr>
        <w:t>三是</w:t>
      </w:r>
      <w:r>
        <w:rPr>
          <w:rFonts w:hint="eastAsia" w:ascii="Times New Roman" w:hAnsi="Times New Roman" w:eastAsia="仿宋_GB2312" w:cs="Times New Roman"/>
          <w:b w:val="0"/>
          <w:bCs/>
          <w:color w:val="000000"/>
          <w:kern w:val="0"/>
          <w:sz w:val="32"/>
          <w:szCs w:val="32"/>
          <w:lang w:eastAsia="zh-CN"/>
        </w:rPr>
        <w:t>于</w:t>
      </w:r>
      <w:r>
        <w:rPr>
          <w:rFonts w:hint="eastAsia" w:ascii="Times New Roman" w:hAnsi="Times New Roman" w:eastAsia="仿宋_GB2312" w:cs="Times New Roman"/>
          <w:b w:val="0"/>
          <w:bCs/>
          <w:color w:val="000000"/>
          <w:kern w:val="0"/>
          <w:sz w:val="32"/>
          <w:szCs w:val="32"/>
          <w:lang w:val="en-US" w:eastAsia="zh-CN"/>
        </w:rPr>
        <w:t>2025年</w:t>
      </w:r>
      <w:r>
        <w:rPr>
          <w:rFonts w:hint="eastAsia" w:ascii="Times New Roman" w:hAnsi="Times New Roman" w:eastAsia="仿宋_GB2312" w:cs="Times New Roman"/>
          <w:color w:val="000000"/>
          <w:kern w:val="0"/>
          <w:sz w:val="32"/>
          <w:szCs w:val="32"/>
        </w:rPr>
        <w:t>5月20日向辖区运输企业印发事故通报，要求各货运企业举一反三，针对性加强驾驶员右侧盲区安全驾驶教育培训，通过常态化教育提醒和科技手段应用，有效防范类似事故再次发生。</w:t>
      </w:r>
    </w:p>
    <w:p w14:paraId="1F310EB5">
      <w:pPr>
        <w:widowControl/>
        <w:spacing w:line="560" w:lineRule="exact"/>
        <w:ind w:firstLine="640" w:firstLineChars="200"/>
        <w:rPr>
          <w:rFonts w:hint="eastAsia" w:ascii="Times New Roman" w:hAnsi="Times New Roman" w:eastAsia="黑体" w:cs="Times New Roman"/>
          <w:color w:val="auto"/>
          <w:sz w:val="32"/>
          <w:szCs w:val="32"/>
          <w:lang w:eastAsia="zh-CN"/>
        </w:rPr>
      </w:pPr>
      <w:r>
        <w:rPr>
          <w:rFonts w:hint="eastAsia" w:ascii="Times New Roman" w:hAnsi="Times New Roman" w:eastAsia="黑体" w:cs="Times New Roman"/>
          <w:color w:val="auto"/>
          <w:sz w:val="32"/>
          <w:szCs w:val="32"/>
          <w:lang w:eastAsia="zh-CN"/>
        </w:rPr>
        <w:t>四、存在问题</w:t>
      </w:r>
    </w:p>
    <w:p w14:paraId="71E78D25">
      <w:pPr>
        <w:spacing w:line="560" w:lineRule="exact"/>
        <w:ind w:firstLine="640" w:firstLineChars="200"/>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评估发现，在事故调查建议的行政处罚落实上，以“企业能提供相关台账”为由未予立案，对制度执行实效性的关注有待加强；日常监管中对企业安全管理人员长期缺位、隐患排查走过场等问题发现不够及时，监管精细度仍需持续提升；对安全管理人员</w:t>
      </w:r>
      <w:bookmarkStart w:id="0" w:name="_GoBack"/>
      <w:bookmarkEnd w:id="0"/>
      <w:r>
        <w:rPr>
          <w:rFonts w:hint="eastAsia" w:ascii="Times New Roman" w:hAnsi="Times New Roman" w:eastAsia="仿宋_GB2312" w:cs="Times New Roman"/>
          <w:color w:val="000000"/>
          <w:sz w:val="32"/>
          <w:szCs w:val="32"/>
          <w:lang w:val="en-US" w:eastAsia="zh-CN"/>
        </w:rPr>
        <w:t>事发后离职失联的情况，缺乏有效的应对和跟踪追责手段。</w:t>
      </w:r>
    </w:p>
    <w:p w14:paraId="72DD33BA">
      <w:pPr>
        <w:widowControl/>
        <w:spacing w:line="560" w:lineRule="exact"/>
        <w:ind w:firstLine="640" w:firstLineChars="200"/>
        <w:rPr>
          <w:rFonts w:hint="eastAsia" w:ascii="Times New Roman" w:hAnsi="Times New Roman" w:eastAsia="黑体" w:cs="Times New Roman"/>
          <w:color w:val="auto"/>
          <w:sz w:val="32"/>
          <w:szCs w:val="32"/>
          <w:lang w:eastAsia="zh-CN"/>
        </w:rPr>
      </w:pPr>
      <w:r>
        <w:rPr>
          <w:rFonts w:hint="eastAsia" w:ascii="Times New Roman" w:hAnsi="Times New Roman" w:eastAsia="黑体" w:cs="Times New Roman"/>
          <w:color w:val="auto"/>
          <w:sz w:val="32"/>
          <w:szCs w:val="32"/>
          <w:lang w:eastAsia="zh-CN"/>
        </w:rPr>
        <w:t>五</w:t>
      </w:r>
      <w:r>
        <w:rPr>
          <w:rFonts w:hint="eastAsia" w:ascii="Times New Roman" w:hAnsi="Times New Roman" w:eastAsia="黑体" w:cs="Times New Roman"/>
          <w:color w:val="auto"/>
          <w:sz w:val="32"/>
          <w:szCs w:val="32"/>
        </w:rPr>
        <w:t>、工作建议</w:t>
      </w:r>
    </w:p>
    <w:p w14:paraId="1ECCCF8B">
      <w:pPr>
        <w:spacing w:line="560" w:lineRule="exact"/>
        <w:ind w:firstLine="640" w:firstLineChars="200"/>
        <w:rPr>
          <w:rFonts w:hint="eastAsia" w:ascii="Times New Roman" w:hAnsi="Times New Roman" w:eastAsia="仿宋_GB2312" w:cs="Times New Roman"/>
          <w:color w:val="auto"/>
          <w:kern w:val="0"/>
          <w:sz w:val="32"/>
          <w:szCs w:val="32"/>
          <w:lang w:val="en-US" w:eastAsia="zh-CN"/>
        </w:rPr>
      </w:pPr>
      <w:r>
        <w:rPr>
          <w:rFonts w:hint="eastAsia" w:ascii="楷体" w:hAnsi="楷体" w:eastAsia="楷体" w:cs="楷体"/>
          <w:color w:val="auto"/>
          <w:kern w:val="0"/>
          <w:sz w:val="32"/>
          <w:szCs w:val="32"/>
        </w:rPr>
        <w:t>（一）</w:t>
      </w:r>
      <w:r>
        <w:rPr>
          <w:rFonts w:hint="eastAsia" w:ascii="楷体" w:hAnsi="楷体" w:eastAsia="楷体" w:cs="楷体"/>
          <w:color w:val="auto"/>
          <w:kern w:val="0"/>
          <w:sz w:val="32"/>
          <w:szCs w:val="32"/>
          <w:lang w:val="en-US" w:eastAsia="zh-CN"/>
        </w:rPr>
        <w:t>进一步夯实企业安全生产主体责任。</w:t>
      </w:r>
      <w:r>
        <w:rPr>
          <w:rFonts w:hint="eastAsia" w:ascii="Times New Roman" w:hAnsi="Times New Roman" w:eastAsia="仿宋_GB2312" w:cs="Times New Roman"/>
          <w:color w:val="auto"/>
          <w:kern w:val="0"/>
          <w:sz w:val="32"/>
          <w:szCs w:val="32"/>
          <w:lang w:val="en-US" w:eastAsia="zh-CN"/>
        </w:rPr>
        <w:t>建议有关监管部门加强对辖区运输企业的日常指导和督促，推动企业切实完善内部安全管理制度，特别是在驾驶员安全教育培训和隐患排查治理方面，注重提升制度的可操作性和执行实效，防止教育培训和隐患排查流于形式，不断夯实企业本质安全水平。</w:t>
      </w:r>
    </w:p>
    <w:p w14:paraId="04325CD6">
      <w:pPr>
        <w:spacing w:line="560" w:lineRule="exact"/>
        <w:ind w:firstLine="640" w:firstLineChars="200"/>
        <w:rPr>
          <w:rFonts w:hint="eastAsia" w:ascii="Times New Roman" w:hAnsi="Times New Roman" w:eastAsia="仿宋_GB2312" w:cs="Times New Roman"/>
          <w:color w:val="auto"/>
          <w:kern w:val="0"/>
          <w:sz w:val="32"/>
          <w:szCs w:val="32"/>
          <w:lang w:val="en-US" w:eastAsia="zh-CN"/>
        </w:rPr>
      </w:pPr>
      <w:r>
        <w:rPr>
          <w:rFonts w:hint="eastAsia" w:ascii="楷体" w:hAnsi="楷体" w:eastAsia="楷体" w:cs="楷体"/>
          <w:color w:val="auto"/>
          <w:kern w:val="0"/>
          <w:sz w:val="32"/>
          <w:szCs w:val="32"/>
          <w:lang w:val="en-US" w:eastAsia="zh-CN"/>
        </w:rPr>
        <w:t>（二）持续强化驾驶员安全教育的针对性和覆盖面。</w:t>
      </w:r>
      <w:r>
        <w:rPr>
          <w:rFonts w:hint="eastAsia" w:ascii="Times New Roman" w:hAnsi="Times New Roman" w:eastAsia="仿宋_GB2312" w:cs="Times New Roman"/>
          <w:color w:val="auto"/>
          <w:kern w:val="0"/>
          <w:sz w:val="32"/>
          <w:szCs w:val="32"/>
          <w:lang w:val="en-US" w:eastAsia="zh-CN"/>
        </w:rPr>
        <w:t>建议交通运输部门结合本辖区典型事故案例，进一步丰富安全宣传教育形式和内容，重点加强对重型货车驾驶员在复杂道路环境下的防御性驾驶技能培训，推动企业将“右转必停”等安全操作规程内化于心、外化于行，切实增强从业人员安全意识和风险辨识能力。</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等线">
    <w:altName w:val="Arial Unicode M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7D7779">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05D2EE">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B05D2EE">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EzMTA3Njg1NTI0MzVlMmMxY2ZlNjNjMThjOWM4ZjYifQ=="/>
  </w:docVars>
  <w:rsids>
    <w:rsidRoot w:val="0010674B"/>
    <w:rsid w:val="00006BD6"/>
    <w:rsid w:val="0001444D"/>
    <w:rsid w:val="00020ABD"/>
    <w:rsid w:val="000227D7"/>
    <w:rsid w:val="00024EFA"/>
    <w:rsid w:val="000324FB"/>
    <w:rsid w:val="00047CF1"/>
    <w:rsid w:val="0005682F"/>
    <w:rsid w:val="00060A94"/>
    <w:rsid w:val="000720F1"/>
    <w:rsid w:val="00073FB2"/>
    <w:rsid w:val="00081EDC"/>
    <w:rsid w:val="000835AA"/>
    <w:rsid w:val="00083B35"/>
    <w:rsid w:val="00091668"/>
    <w:rsid w:val="000B05F0"/>
    <w:rsid w:val="000B4347"/>
    <w:rsid w:val="000B4EE9"/>
    <w:rsid w:val="000C7EF3"/>
    <w:rsid w:val="000E4A3C"/>
    <w:rsid w:val="000E6A29"/>
    <w:rsid w:val="000E7A5D"/>
    <w:rsid w:val="000E7A61"/>
    <w:rsid w:val="0010674B"/>
    <w:rsid w:val="0012426C"/>
    <w:rsid w:val="00135992"/>
    <w:rsid w:val="00144D94"/>
    <w:rsid w:val="00147266"/>
    <w:rsid w:val="00147652"/>
    <w:rsid w:val="0016498D"/>
    <w:rsid w:val="00173473"/>
    <w:rsid w:val="00177242"/>
    <w:rsid w:val="001A175F"/>
    <w:rsid w:val="001B0893"/>
    <w:rsid w:val="001B5128"/>
    <w:rsid w:val="001D48CF"/>
    <w:rsid w:val="001F207B"/>
    <w:rsid w:val="002060AD"/>
    <w:rsid w:val="002065F0"/>
    <w:rsid w:val="0020716C"/>
    <w:rsid w:val="00214677"/>
    <w:rsid w:val="00225403"/>
    <w:rsid w:val="002359BA"/>
    <w:rsid w:val="002417AC"/>
    <w:rsid w:val="0024723D"/>
    <w:rsid w:val="002475E0"/>
    <w:rsid w:val="00251EAA"/>
    <w:rsid w:val="00254B03"/>
    <w:rsid w:val="002579F2"/>
    <w:rsid w:val="00284A83"/>
    <w:rsid w:val="00287317"/>
    <w:rsid w:val="00290DCE"/>
    <w:rsid w:val="0029639F"/>
    <w:rsid w:val="002A0566"/>
    <w:rsid w:val="002A1AF6"/>
    <w:rsid w:val="002A56D6"/>
    <w:rsid w:val="002B25FC"/>
    <w:rsid w:val="002D19ED"/>
    <w:rsid w:val="002D6E29"/>
    <w:rsid w:val="002E5218"/>
    <w:rsid w:val="002E662F"/>
    <w:rsid w:val="002F13F8"/>
    <w:rsid w:val="002F6E4F"/>
    <w:rsid w:val="003000F2"/>
    <w:rsid w:val="0030104F"/>
    <w:rsid w:val="00302D47"/>
    <w:rsid w:val="00307F09"/>
    <w:rsid w:val="00315AA0"/>
    <w:rsid w:val="00320A76"/>
    <w:rsid w:val="003248B2"/>
    <w:rsid w:val="0034138A"/>
    <w:rsid w:val="00341700"/>
    <w:rsid w:val="003565C6"/>
    <w:rsid w:val="00367238"/>
    <w:rsid w:val="00375F6F"/>
    <w:rsid w:val="00383744"/>
    <w:rsid w:val="003B10F2"/>
    <w:rsid w:val="003B6B33"/>
    <w:rsid w:val="003C4CD8"/>
    <w:rsid w:val="003C77EF"/>
    <w:rsid w:val="003D1932"/>
    <w:rsid w:val="003E2806"/>
    <w:rsid w:val="003E3C08"/>
    <w:rsid w:val="00421F64"/>
    <w:rsid w:val="0042774B"/>
    <w:rsid w:val="00431687"/>
    <w:rsid w:val="00442A17"/>
    <w:rsid w:val="00450D01"/>
    <w:rsid w:val="00452794"/>
    <w:rsid w:val="004547E6"/>
    <w:rsid w:val="00464DF8"/>
    <w:rsid w:val="00474F99"/>
    <w:rsid w:val="00475BBA"/>
    <w:rsid w:val="0049023E"/>
    <w:rsid w:val="00494191"/>
    <w:rsid w:val="004A0679"/>
    <w:rsid w:val="004A135B"/>
    <w:rsid w:val="004A5B88"/>
    <w:rsid w:val="004B1E2F"/>
    <w:rsid w:val="004B2B05"/>
    <w:rsid w:val="004B6838"/>
    <w:rsid w:val="004C0A21"/>
    <w:rsid w:val="004D3D26"/>
    <w:rsid w:val="004D4E3A"/>
    <w:rsid w:val="004F4C8F"/>
    <w:rsid w:val="005047E8"/>
    <w:rsid w:val="00505E34"/>
    <w:rsid w:val="005241E1"/>
    <w:rsid w:val="00525A55"/>
    <w:rsid w:val="00534DBE"/>
    <w:rsid w:val="00535AEB"/>
    <w:rsid w:val="005360E5"/>
    <w:rsid w:val="00566BFD"/>
    <w:rsid w:val="005A77BC"/>
    <w:rsid w:val="005D2E72"/>
    <w:rsid w:val="005F369C"/>
    <w:rsid w:val="006008E5"/>
    <w:rsid w:val="00622042"/>
    <w:rsid w:val="00622500"/>
    <w:rsid w:val="0062250D"/>
    <w:rsid w:val="00635748"/>
    <w:rsid w:val="006473E9"/>
    <w:rsid w:val="00655812"/>
    <w:rsid w:val="00662347"/>
    <w:rsid w:val="006668A8"/>
    <w:rsid w:val="00670D94"/>
    <w:rsid w:val="006A2688"/>
    <w:rsid w:val="006A7010"/>
    <w:rsid w:val="006B0442"/>
    <w:rsid w:val="006C13AA"/>
    <w:rsid w:val="006D4C2D"/>
    <w:rsid w:val="00710D6A"/>
    <w:rsid w:val="0071477E"/>
    <w:rsid w:val="0072373B"/>
    <w:rsid w:val="00743315"/>
    <w:rsid w:val="007456E0"/>
    <w:rsid w:val="00747097"/>
    <w:rsid w:val="00750EE7"/>
    <w:rsid w:val="00757872"/>
    <w:rsid w:val="00760F7F"/>
    <w:rsid w:val="00760F9B"/>
    <w:rsid w:val="007669E1"/>
    <w:rsid w:val="00782983"/>
    <w:rsid w:val="007829C4"/>
    <w:rsid w:val="0079015F"/>
    <w:rsid w:val="00790A8C"/>
    <w:rsid w:val="00792DBB"/>
    <w:rsid w:val="007A293C"/>
    <w:rsid w:val="007C361D"/>
    <w:rsid w:val="007D2CFD"/>
    <w:rsid w:val="007D303D"/>
    <w:rsid w:val="007D5ED6"/>
    <w:rsid w:val="007E1003"/>
    <w:rsid w:val="007E360B"/>
    <w:rsid w:val="007E42E7"/>
    <w:rsid w:val="007E5C2D"/>
    <w:rsid w:val="007F402C"/>
    <w:rsid w:val="007F471C"/>
    <w:rsid w:val="0080146B"/>
    <w:rsid w:val="00807F7E"/>
    <w:rsid w:val="0081728C"/>
    <w:rsid w:val="00837911"/>
    <w:rsid w:val="00837FB7"/>
    <w:rsid w:val="008433D0"/>
    <w:rsid w:val="00844727"/>
    <w:rsid w:val="00855BE5"/>
    <w:rsid w:val="008578E5"/>
    <w:rsid w:val="00860894"/>
    <w:rsid w:val="00862360"/>
    <w:rsid w:val="00873CF3"/>
    <w:rsid w:val="00896676"/>
    <w:rsid w:val="008A0800"/>
    <w:rsid w:val="008B199B"/>
    <w:rsid w:val="008B7234"/>
    <w:rsid w:val="008C4AE5"/>
    <w:rsid w:val="008C53CC"/>
    <w:rsid w:val="008E4D75"/>
    <w:rsid w:val="00907043"/>
    <w:rsid w:val="00936C8D"/>
    <w:rsid w:val="009373AC"/>
    <w:rsid w:val="00943CCA"/>
    <w:rsid w:val="00956353"/>
    <w:rsid w:val="00957D23"/>
    <w:rsid w:val="00970476"/>
    <w:rsid w:val="00992450"/>
    <w:rsid w:val="009938B2"/>
    <w:rsid w:val="009A6FFA"/>
    <w:rsid w:val="009C3902"/>
    <w:rsid w:val="009C6D8B"/>
    <w:rsid w:val="009D01DA"/>
    <w:rsid w:val="009E6D5D"/>
    <w:rsid w:val="00A1320D"/>
    <w:rsid w:val="00A26ADA"/>
    <w:rsid w:val="00A31220"/>
    <w:rsid w:val="00A449B9"/>
    <w:rsid w:val="00A5203D"/>
    <w:rsid w:val="00A6554F"/>
    <w:rsid w:val="00A74681"/>
    <w:rsid w:val="00A92B32"/>
    <w:rsid w:val="00A92F5C"/>
    <w:rsid w:val="00A945D3"/>
    <w:rsid w:val="00AB5DE8"/>
    <w:rsid w:val="00AC1BFE"/>
    <w:rsid w:val="00AC2C14"/>
    <w:rsid w:val="00AD2322"/>
    <w:rsid w:val="00AF364A"/>
    <w:rsid w:val="00AF4D81"/>
    <w:rsid w:val="00B068B4"/>
    <w:rsid w:val="00B163BB"/>
    <w:rsid w:val="00B23F18"/>
    <w:rsid w:val="00B341A8"/>
    <w:rsid w:val="00B37A3A"/>
    <w:rsid w:val="00B43F15"/>
    <w:rsid w:val="00B55E6F"/>
    <w:rsid w:val="00B56C38"/>
    <w:rsid w:val="00B71EFE"/>
    <w:rsid w:val="00B77692"/>
    <w:rsid w:val="00B8493B"/>
    <w:rsid w:val="00B84CE2"/>
    <w:rsid w:val="00B95028"/>
    <w:rsid w:val="00B977C7"/>
    <w:rsid w:val="00B97CBD"/>
    <w:rsid w:val="00BA0EE9"/>
    <w:rsid w:val="00BB01EA"/>
    <w:rsid w:val="00BB0240"/>
    <w:rsid w:val="00BC297C"/>
    <w:rsid w:val="00C02299"/>
    <w:rsid w:val="00C17F0B"/>
    <w:rsid w:val="00C21584"/>
    <w:rsid w:val="00C22F56"/>
    <w:rsid w:val="00C300EB"/>
    <w:rsid w:val="00C34CE7"/>
    <w:rsid w:val="00C37D29"/>
    <w:rsid w:val="00C40691"/>
    <w:rsid w:val="00C43529"/>
    <w:rsid w:val="00C46A6A"/>
    <w:rsid w:val="00C539AC"/>
    <w:rsid w:val="00C579CF"/>
    <w:rsid w:val="00C67E64"/>
    <w:rsid w:val="00C7024E"/>
    <w:rsid w:val="00C73A7D"/>
    <w:rsid w:val="00C93CC3"/>
    <w:rsid w:val="00CC69AE"/>
    <w:rsid w:val="00CD2302"/>
    <w:rsid w:val="00CD7A2C"/>
    <w:rsid w:val="00CE7F97"/>
    <w:rsid w:val="00CF0057"/>
    <w:rsid w:val="00CF155F"/>
    <w:rsid w:val="00D32C9E"/>
    <w:rsid w:val="00D4265C"/>
    <w:rsid w:val="00D6058D"/>
    <w:rsid w:val="00D6520B"/>
    <w:rsid w:val="00D670D3"/>
    <w:rsid w:val="00D8530A"/>
    <w:rsid w:val="00D879C4"/>
    <w:rsid w:val="00D92468"/>
    <w:rsid w:val="00DA3574"/>
    <w:rsid w:val="00DA7F7B"/>
    <w:rsid w:val="00DD1C41"/>
    <w:rsid w:val="00DE1204"/>
    <w:rsid w:val="00DE1F06"/>
    <w:rsid w:val="00DF0B20"/>
    <w:rsid w:val="00DF3679"/>
    <w:rsid w:val="00E11D6C"/>
    <w:rsid w:val="00E305BC"/>
    <w:rsid w:val="00E31C43"/>
    <w:rsid w:val="00E331D7"/>
    <w:rsid w:val="00E33E7D"/>
    <w:rsid w:val="00E40046"/>
    <w:rsid w:val="00E42C16"/>
    <w:rsid w:val="00E43CF6"/>
    <w:rsid w:val="00E54460"/>
    <w:rsid w:val="00E74596"/>
    <w:rsid w:val="00E877CE"/>
    <w:rsid w:val="00E87975"/>
    <w:rsid w:val="00E903F7"/>
    <w:rsid w:val="00EA54B5"/>
    <w:rsid w:val="00EA7F12"/>
    <w:rsid w:val="00EF4C6E"/>
    <w:rsid w:val="00F02F63"/>
    <w:rsid w:val="00F17A40"/>
    <w:rsid w:val="00F20E00"/>
    <w:rsid w:val="00F22EC3"/>
    <w:rsid w:val="00F236CD"/>
    <w:rsid w:val="00F248C3"/>
    <w:rsid w:val="00F34CC4"/>
    <w:rsid w:val="00F410A1"/>
    <w:rsid w:val="00F43CB0"/>
    <w:rsid w:val="00F46652"/>
    <w:rsid w:val="00F519A1"/>
    <w:rsid w:val="00F57865"/>
    <w:rsid w:val="00F616EB"/>
    <w:rsid w:val="00FA29DB"/>
    <w:rsid w:val="00FB57A7"/>
    <w:rsid w:val="00FC1002"/>
    <w:rsid w:val="00FC1145"/>
    <w:rsid w:val="00FD453E"/>
    <w:rsid w:val="00FE16E0"/>
    <w:rsid w:val="00FE30D7"/>
    <w:rsid w:val="00FF1AF0"/>
    <w:rsid w:val="00FF295B"/>
    <w:rsid w:val="00FF3A0A"/>
    <w:rsid w:val="029E3A6B"/>
    <w:rsid w:val="042511DA"/>
    <w:rsid w:val="0504618C"/>
    <w:rsid w:val="05D729DD"/>
    <w:rsid w:val="07DE4B58"/>
    <w:rsid w:val="08FD1DEA"/>
    <w:rsid w:val="0A2A37A7"/>
    <w:rsid w:val="0A8F75BE"/>
    <w:rsid w:val="0F295376"/>
    <w:rsid w:val="0FAE7EF3"/>
    <w:rsid w:val="117409FC"/>
    <w:rsid w:val="11A4296E"/>
    <w:rsid w:val="14787C3D"/>
    <w:rsid w:val="14B359D2"/>
    <w:rsid w:val="15E92769"/>
    <w:rsid w:val="1B9363F7"/>
    <w:rsid w:val="1DBC2D23"/>
    <w:rsid w:val="1E4144FB"/>
    <w:rsid w:val="1FB45B95"/>
    <w:rsid w:val="242C4FD8"/>
    <w:rsid w:val="24CC59C3"/>
    <w:rsid w:val="26131778"/>
    <w:rsid w:val="27EB2370"/>
    <w:rsid w:val="286D3B2C"/>
    <w:rsid w:val="297113EB"/>
    <w:rsid w:val="2B850939"/>
    <w:rsid w:val="2C266C06"/>
    <w:rsid w:val="2CFB9253"/>
    <w:rsid w:val="2D3F0E2D"/>
    <w:rsid w:val="2E7B916D"/>
    <w:rsid w:val="2F227D5E"/>
    <w:rsid w:val="2FA87C0A"/>
    <w:rsid w:val="30F966D7"/>
    <w:rsid w:val="329E577C"/>
    <w:rsid w:val="33F92AD4"/>
    <w:rsid w:val="354C58F2"/>
    <w:rsid w:val="35A5677E"/>
    <w:rsid w:val="38307739"/>
    <w:rsid w:val="38A02D03"/>
    <w:rsid w:val="39050DB8"/>
    <w:rsid w:val="39BB3215"/>
    <w:rsid w:val="39FEAF30"/>
    <w:rsid w:val="3AA76763"/>
    <w:rsid w:val="3BCF12B4"/>
    <w:rsid w:val="3DEB3F41"/>
    <w:rsid w:val="40585FD4"/>
    <w:rsid w:val="40780E72"/>
    <w:rsid w:val="42B63095"/>
    <w:rsid w:val="439016DC"/>
    <w:rsid w:val="43C5759E"/>
    <w:rsid w:val="47EC2181"/>
    <w:rsid w:val="48BD0D88"/>
    <w:rsid w:val="4C061D77"/>
    <w:rsid w:val="4CCD5D3D"/>
    <w:rsid w:val="4D52412E"/>
    <w:rsid w:val="5080549C"/>
    <w:rsid w:val="50830AE8"/>
    <w:rsid w:val="511B605D"/>
    <w:rsid w:val="51316796"/>
    <w:rsid w:val="53FF3FEF"/>
    <w:rsid w:val="57A91A74"/>
    <w:rsid w:val="589F492D"/>
    <w:rsid w:val="5A2D3B34"/>
    <w:rsid w:val="5B910C4C"/>
    <w:rsid w:val="5E67748C"/>
    <w:rsid w:val="5F762093"/>
    <w:rsid w:val="5F7FE4D7"/>
    <w:rsid w:val="5FFE2003"/>
    <w:rsid w:val="62297085"/>
    <w:rsid w:val="62AE78CE"/>
    <w:rsid w:val="6337566E"/>
    <w:rsid w:val="647065B4"/>
    <w:rsid w:val="654E4C35"/>
    <w:rsid w:val="661F13F9"/>
    <w:rsid w:val="663E0432"/>
    <w:rsid w:val="66F74030"/>
    <w:rsid w:val="67C9107F"/>
    <w:rsid w:val="68AC733B"/>
    <w:rsid w:val="6C0E449D"/>
    <w:rsid w:val="6CB5251A"/>
    <w:rsid w:val="6D0C5847"/>
    <w:rsid w:val="6E3C3A73"/>
    <w:rsid w:val="6ED38BAB"/>
    <w:rsid w:val="6FFFE250"/>
    <w:rsid w:val="7283390D"/>
    <w:rsid w:val="740E2A53"/>
    <w:rsid w:val="742D97BF"/>
    <w:rsid w:val="74B614BA"/>
    <w:rsid w:val="75645501"/>
    <w:rsid w:val="77CF061B"/>
    <w:rsid w:val="79055E20"/>
    <w:rsid w:val="796A4CA6"/>
    <w:rsid w:val="79FE9F74"/>
    <w:rsid w:val="7B834250"/>
    <w:rsid w:val="7BC36273"/>
    <w:rsid w:val="7C965B80"/>
    <w:rsid w:val="7DAF2C79"/>
    <w:rsid w:val="7E615122"/>
    <w:rsid w:val="7E7B2D64"/>
    <w:rsid w:val="7EAE598F"/>
    <w:rsid w:val="7EFFC00C"/>
    <w:rsid w:val="7F5F1BE7"/>
    <w:rsid w:val="7F7DD219"/>
    <w:rsid w:val="7F7F5B34"/>
    <w:rsid w:val="7F9FF984"/>
    <w:rsid w:val="7FCC35F9"/>
    <w:rsid w:val="7FFF76E8"/>
    <w:rsid w:val="AEFF53DA"/>
    <w:rsid w:val="B75F4678"/>
    <w:rsid w:val="BCBDA0D2"/>
    <w:rsid w:val="BD6F963F"/>
    <w:rsid w:val="BFFF6D4F"/>
    <w:rsid w:val="CD3F5141"/>
    <w:rsid w:val="CD9F4BA6"/>
    <w:rsid w:val="CFEFC25A"/>
    <w:rsid w:val="D78750EE"/>
    <w:rsid w:val="DEEFC073"/>
    <w:rsid w:val="EAFD2C4D"/>
    <w:rsid w:val="ECE93F92"/>
    <w:rsid w:val="EF277309"/>
    <w:rsid w:val="EFB6E2A3"/>
    <w:rsid w:val="F6FA3F6B"/>
    <w:rsid w:val="F7FBED02"/>
    <w:rsid w:val="F85F548C"/>
    <w:rsid w:val="FA367B24"/>
    <w:rsid w:val="FADE7082"/>
    <w:rsid w:val="FBADB06D"/>
    <w:rsid w:val="FBE74D96"/>
    <w:rsid w:val="FBF7FCF6"/>
    <w:rsid w:val="FD6F4317"/>
    <w:rsid w:val="FEF3DAFD"/>
    <w:rsid w:val="FEF8CC4E"/>
    <w:rsid w:val="FF5FD82B"/>
    <w:rsid w:val="FFDF3DF6"/>
    <w:rsid w:val="FFFB3202"/>
    <w:rsid w:val="FFFE62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1"/>
    <w:qFormat/>
    <w:uiPriority w:val="9"/>
    <w:pPr>
      <w:keepNext/>
      <w:keepLines/>
      <w:spacing w:before="340" w:after="330" w:line="578" w:lineRule="auto"/>
      <w:outlineLvl w:val="0"/>
    </w:pPr>
    <w:rPr>
      <w:b/>
      <w:bCs/>
      <w:kern w:val="44"/>
      <w:sz w:val="44"/>
      <w:szCs w:val="44"/>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30"/>
    <w:semiHidden/>
    <w:unhideWhenUsed/>
    <w:qFormat/>
    <w:uiPriority w:val="99"/>
    <w:pPr>
      <w:jc w:val="left"/>
    </w:pPr>
  </w:style>
  <w:style w:type="paragraph" w:styleId="4">
    <w:name w:val="Body Text"/>
    <w:basedOn w:val="1"/>
    <w:link w:val="31"/>
    <w:semiHidden/>
    <w:unhideWhenUsed/>
    <w:qFormat/>
    <w:uiPriority w:val="99"/>
    <w:pPr>
      <w:spacing w:after="120"/>
    </w:pPr>
  </w:style>
  <w:style w:type="paragraph" w:styleId="5">
    <w:name w:val="Body Text Indent"/>
    <w:basedOn w:val="1"/>
    <w:link w:val="22"/>
    <w:semiHidden/>
    <w:unhideWhenUsed/>
    <w:qFormat/>
    <w:uiPriority w:val="99"/>
    <w:pPr>
      <w:spacing w:after="120"/>
      <w:ind w:left="420" w:leftChars="200"/>
    </w:pPr>
  </w:style>
  <w:style w:type="paragraph" w:styleId="6">
    <w:name w:val="Body Text Indent 2"/>
    <w:basedOn w:val="1"/>
    <w:link w:val="26"/>
    <w:qFormat/>
    <w:uiPriority w:val="0"/>
    <w:pPr>
      <w:spacing w:after="120" w:line="480" w:lineRule="auto"/>
      <w:ind w:left="420" w:leftChars="200"/>
    </w:pPr>
    <w:rPr>
      <w:rFonts w:ascii="Times New Roman" w:hAnsi="Times New Roman" w:eastAsia="宋体" w:cs="Times New Roman"/>
      <w:szCs w:val="24"/>
    </w:rPr>
  </w:style>
  <w:style w:type="paragraph" w:styleId="7">
    <w:name w:val="Balloon Text"/>
    <w:basedOn w:val="1"/>
    <w:link w:val="28"/>
    <w:semiHidden/>
    <w:unhideWhenUsed/>
    <w:qFormat/>
    <w:uiPriority w:val="99"/>
    <w:rPr>
      <w:sz w:val="18"/>
      <w:szCs w:val="18"/>
    </w:rPr>
  </w:style>
  <w:style w:type="paragraph" w:styleId="8">
    <w:name w:val="footer"/>
    <w:basedOn w:val="1"/>
    <w:link w:val="19"/>
    <w:unhideWhenUsed/>
    <w:qFormat/>
    <w:uiPriority w:val="99"/>
    <w:pPr>
      <w:tabs>
        <w:tab w:val="center" w:pos="4153"/>
        <w:tab w:val="right" w:pos="8306"/>
      </w:tabs>
      <w:snapToGrid w:val="0"/>
      <w:jc w:val="left"/>
    </w:pPr>
    <w:rPr>
      <w:sz w:val="18"/>
      <w:szCs w:val="18"/>
    </w:rPr>
  </w:style>
  <w:style w:type="paragraph" w:styleId="9">
    <w:name w:val="header"/>
    <w:basedOn w:val="1"/>
    <w:link w:val="18"/>
    <w:unhideWhenUsed/>
    <w:qFormat/>
    <w:uiPriority w:val="99"/>
    <w:pPr>
      <w:tabs>
        <w:tab w:val="center" w:pos="4153"/>
        <w:tab w:val="right" w:pos="8306"/>
      </w:tabs>
      <w:snapToGrid w:val="0"/>
      <w:jc w:val="center"/>
    </w:pPr>
    <w:rPr>
      <w:sz w:val="18"/>
      <w:szCs w:val="18"/>
    </w:rPr>
  </w:style>
  <w:style w:type="paragraph" w:styleId="10">
    <w:name w:val="Body Text Indent 3"/>
    <w:basedOn w:val="1"/>
    <w:link w:val="27"/>
    <w:semiHidden/>
    <w:unhideWhenUsed/>
    <w:qFormat/>
    <w:uiPriority w:val="99"/>
    <w:pPr>
      <w:spacing w:after="120"/>
      <w:ind w:left="420" w:leftChars="200"/>
    </w:pPr>
    <w:rPr>
      <w:sz w:val="16"/>
      <w:szCs w:val="16"/>
    </w:rPr>
  </w:style>
  <w:style w:type="paragraph" w:styleId="11">
    <w:name w:val="Normal (Web)"/>
    <w:basedOn w:val="1"/>
    <w:qFormat/>
    <w:uiPriority w:val="0"/>
    <w:pPr>
      <w:spacing w:before="100" w:beforeAutospacing="1" w:after="100" w:afterAutospacing="1"/>
      <w:jc w:val="left"/>
    </w:pPr>
    <w:rPr>
      <w:rFonts w:ascii="Calibri" w:hAnsi="Calibri" w:eastAsia="宋体" w:cs="Times New Roman"/>
      <w:kern w:val="0"/>
      <w:sz w:val="24"/>
    </w:rPr>
  </w:style>
  <w:style w:type="paragraph" w:styleId="12">
    <w:name w:val="annotation subject"/>
    <w:basedOn w:val="3"/>
    <w:next w:val="3"/>
    <w:link w:val="32"/>
    <w:semiHidden/>
    <w:unhideWhenUsed/>
    <w:qFormat/>
    <w:uiPriority w:val="99"/>
    <w:rPr>
      <w:b/>
      <w:bCs/>
    </w:rPr>
  </w:style>
  <w:style w:type="paragraph" w:styleId="13">
    <w:name w:val="Body Text First Indent 2"/>
    <w:basedOn w:val="5"/>
    <w:link w:val="23"/>
    <w:unhideWhenUsed/>
    <w:qFormat/>
    <w:uiPriority w:val="99"/>
    <w:pPr>
      <w:ind w:firstLine="420" w:firstLineChars="200"/>
    </w:pPr>
    <w:rPr>
      <w:rFonts w:ascii="Calibri" w:hAnsi="Calibri" w:eastAsia="宋体" w:cs="Times New Roman"/>
    </w:rPr>
  </w:style>
  <w:style w:type="table" w:styleId="15">
    <w:name w:val="Table Grid"/>
    <w:basedOn w:val="1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annotation reference"/>
    <w:basedOn w:val="16"/>
    <w:semiHidden/>
    <w:unhideWhenUsed/>
    <w:qFormat/>
    <w:uiPriority w:val="99"/>
    <w:rPr>
      <w:sz w:val="21"/>
      <w:szCs w:val="21"/>
    </w:rPr>
  </w:style>
  <w:style w:type="character" w:customStyle="1" w:styleId="18">
    <w:name w:val="页眉 Char"/>
    <w:basedOn w:val="16"/>
    <w:link w:val="9"/>
    <w:qFormat/>
    <w:uiPriority w:val="99"/>
    <w:rPr>
      <w:sz w:val="18"/>
      <w:szCs w:val="18"/>
    </w:rPr>
  </w:style>
  <w:style w:type="character" w:customStyle="1" w:styleId="19">
    <w:name w:val="页脚 Char"/>
    <w:basedOn w:val="16"/>
    <w:link w:val="8"/>
    <w:qFormat/>
    <w:uiPriority w:val="99"/>
    <w:rPr>
      <w:sz w:val="18"/>
      <w:szCs w:val="18"/>
    </w:rPr>
  </w:style>
  <w:style w:type="paragraph" w:styleId="20">
    <w:name w:val="List Paragraph"/>
    <w:basedOn w:val="1"/>
    <w:qFormat/>
    <w:uiPriority w:val="34"/>
    <w:pPr>
      <w:spacing w:line="560" w:lineRule="exact"/>
      <w:ind w:firstLine="640" w:firstLineChars="200"/>
      <w:pPrChange w:id="0" w:author="Windows 用户" w:date="2023-12-29T17:43:00Z">
        <w:pPr>
          <w:widowControl w:val="0"/>
          <w:ind w:firstLine="420" w:firstLineChars="200"/>
          <w:jc w:val="both"/>
        </w:pPr>
      </w:pPrChange>
    </w:pPr>
    <w:rPr>
      <w:rPrChange w:id="1" w:author="Windows 用户" w:date="2023-12-29T17:43:00Z">
        <w:rPr>
          <w:rFonts w:asciiTheme="minorHAnsi" w:hAnsiTheme="minorHAnsi" w:eastAsiaTheme="minorEastAsia" w:cstheme="minorBidi"/>
          <w:kern w:val="2"/>
          <w:sz w:val="21"/>
          <w:szCs w:val="22"/>
          <w:lang w:val="en-US" w:eastAsia="zh-CN" w:bidi="ar-SA"/>
        </w:rPr>
      </w:rPrChange>
    </w:rPr>
  </w:style>
  <w:style w:type="character" w:customStyle="1" w:styleId="21">
    <w:name w:val="标题 1 Char"/>
    <w:basedOn w:val="16"/>
    <w:link w:val="2"/>
    <w:qFormat/>
    <w:uiPriority w:val="9"/>
    <w:rPr>
      <w:b/>
      <w:bCs/>
      <w:kern w:val="44"/>
      <w:sz w:val="44"/>
      <w:szCs w:val="44"/>
    </w:rPr>
  </w:style>
  <w:style w:type="character" w:customStyle="1" w:styleId="22">
    <w:name w:val="正文文本缩进 Char"/>
    <w:basedOn w:val="16"/>
    <w:link w:val="5"/>
    <w:semiHidden/>
    <w:qFormat/>
    <w:uiPriority w:val="99"/>
  </w:style>
  <w:style w:type="character" w:customStyle="1" w:styleId="23">
    <w:name w:val="正文首行缩进 2 Char"/>
    <w:basedOn w:val="22"/>
    <w:link w:val="13"/>
    <w:qFormat/>
    <w:uiPriority w:val="99"/>
    <w:rPr>
      <w:rFonts w:ascii="Calibri" w:hAnsi="Calibri" w:eastAsia="宋体" w:cs="Times New Roman"/>
    </w:rPr>
  </w:style>
  <w:style w:type="paragraph" w:customStyle="1" w:styleId="24">
    <w:name w:val="修订1"/>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25">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26">
    <w:name w:val="正文文本缩进 2 Char"/>
    <w:basedOn w:val="16"/>
    <w:link w:val="6"/>
    <w:qFormat/>
    <w:uiPriority w:val="0"/>
    <w:rPr>
      <w:rFonts w:ascii="Times New Roman" w:hAnsi="Times New Roman" w:eastAsia="宋体" w:cs="Times New Roman"/>
      <w:kern w:val="2"/>
      <w:sz w:val="21"/>
      <w:szCs w:val="24"/>
    </w:rPr>
  </w:style>
  <w:style w:type="character" w:customStyle="1" w:styleId="27">
    <w:name w:val="正文文本缩进 3 Char"/>
    <w:basedOn w:val="16"/>
    <w:link w:val="10"/>
    <w:semiHidden/>
    <w:qFormat/>
    <w:uiPriority w:val="99"/>
    <w:rPr>
      <w:kern w:val="2"/>
      <w:sz w:val="16"/>
      <w:szCs w:val="16"/>
    </w:rPr>
  </w:style>
  <w:style w:type="character" w:customStyle="1" w:styleId="28">
    <w:name w:val="批注框文本 Char"/>
    <w:basedOn w:val="16"/>
    <w:link w:val="7"/>
    <w:semiHidden/>
    <w:qFormat/>
    <w:uiPriority w:val="99"/>
    <w:rPr>
      <w:kern w:val="2"/>
      <w:sz w:val="18"/>
      <w:szCs w:val="18"/>
    </w:rPr>
  </w:style>
  <w:style w:type="paragraph" w:customStyle="1" w:styleId="29">
    <w:name w:val="修订2"/>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30">
    <w:name w:val="批注文字 Char"/>
    <w:basedOn w:val="16"/>
    <w:link w:val="3"/>
    <w:semiHidden/>
    <w:qFormat/>
    <w:uiPriority w:val="99"/>
    <w:rPr>
      <w:kern w:val="2"/>
      <w:sz w:val="21"/>
      <w:szCs w:val="22"/>
    </w:rPr>
  </w:style>
  <w:style w:type="character" w:customStyle="1" w:styleId="31">
    <w:name w:val="正文文本 Char"/>
    <w:basedOn w:val="16"/>
    <w:link w:val="4"/>
    <w:semiHidden/>
    <w:qFormat/>
    <w:uiPriority w:val="99"/>
    <w:rPr>
      <w:kern w:val="2"/>
      <w:sz w:val="21"/>
      <w:szCs w:val="22"/>
    </w:rPr>
  </w:style>
  <w:style w:type="character" w:customStyle="1" w:styleId="32">
    <w:name w:val="批注主题 Char"/>
    <w:basedOn w:val="30"/>
    <w:link w:val="12"/>
    <w:semiHidden/>
    <w:qFormat/>
    <w:uiPriority w:val="99"/>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东莞市人民政府专用版</Company>
  <Pages>5</Pages>
  <Words>1380</Words>
  <Characters>1438</Characters>
  <Lines>70</Lines>
  <Paragraphs>19</Paragraphs>
  <TotalTime>2322</TotalTime>
  <ScaleCrop>false</ScaleCrop>
  <LinksUpToDate>false</LinksUpToDate>
  <CharactersWithSpaces>1438</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2023-12-08T07:14:00Z</dcterms:created>
  <dc:creator>37 山崎</dc:creator>
  <cp:lastModifiedBy>wïnwin</cp:lastModifiedBy>
  <cp:lastPrinted>2024-01-10T07:37:00Z</cp:lastPrinted>
  <dcterms:modified xsi:type="dcterms:W3CDTF">2026-09-09T16:20:16Z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8EF515C724944A8323AD716A7F5E312A_43</vt:lpwstr>
  </property>
  <property fmtid="{D5CDD505-2E9C-101B-9397-08002B2CF9AE}" pid="4" name="KSOTemplateDocerSaveRecord">
    <vt:lpwstr>eyJoZGlkIjoiMmJhOWZjZTM2MWM1YjU0MDJhZDE3OGFhYjAzODc3YjMiLCJ1c2VySWQiOiI0MTIwOTk2NDgifQ==</vt:lpwstr>
  </property>
</Properties>
</file>