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25EC3">
      <w:pPr>
        <w:keepNext w:val="0"/>
        <w:keepLines w:val="0"/>
        <w:pageBreakBefore w:val="0"/>
        <w:widowControl w:val="0"/>
        <w:kinsoku/>
        <w:wordWrap/>
        <w:overflowPunct/>
        <w:topLinePunct w:val="0"/>
        <w:autoSpaceDE/>
        <w:autoSpaceDN/>
        <w:bidi w:val="0"/>
        <w:adjustRightInd/>
        <w:snapToGrid/>
        <w:spacing w:after="157" w:afterLines="50" w:line="540" w:lineRule="exact"/>
        <w:textAlignment w:val="auto"/>
        <w:rPr>
          <w:rFonts w:hint="default" w:ascii="Times New Roman" w:hAnsi="Times New Roman" w:eastAsia="仿宋_GB2312" w:cs="Times New Roman"/>
          <w:sz w:val="32"/>
          <w:szCs w:val="32"/>
          <w:lang w:val="en-US" w:eastAsia="zh-CN"/>
        </w:rPr>
      </w:pPr>
      <w:bookmarkStart w:id="0" w:name="_Toc428811258"/>
      <w:bookmarkStart w:id="1" w:name="_Toc4064"/>
      <w:bookmarkStart w:id="2" w:name="_Toc19148"/>
      <w:bookmarkStart w:id="3" w:name="_Toc11822"/>
      <w:r>
        <w:rPr>
          <w:rFonts w:hint="eastAsia" w:ascii="黑体" w:hAnsi="黑体" w:eastAsia="黑体" w:cs="黑体"/>
          <w:sz w:val="28"/>
          <w:szCs w:val="28"/>
          <w:lang w:val="en-US" w:eastAsia="zh-CN"/>
        </w:rPr>
        <w:t>附件1</w:t>
      </w:r>
    </w:p>
    <w:p w14:paraId="727FCCC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2026年</w:t>
      </w:r>
      <w:r>
        <w:rPr>
          <w:rFonts w:hint="eastAsia" w:ascii="方正小标宋简体" w:hAnsi="方正小标宋简体" w:eastAsia="方正小标宋简体" w:cs="方正小标宋简体"/>
          <w:b w:val="0"/>
          <w:bCs w:val="0"/>
          <w:sz w:val="44"/>
          <w:szCs w:val="44"/>
          <w:highlight w:val="none"/>
        </w:rPr>
        <w:t>东莞市</w:t>
      </w:r>
      <w:r>
        <w:rPr>
          <w:rFonts w:hint="eastAsia" w:ascii="方正小标宋简体" w:hAnsi="方正小标宋简体" w:eastAsia="方正小标宋简体" w:cs="方正小标宋简体"/>
          <w:b w:val="0"/>
          <w:bCs w:val="0"/>
          <w:sz w:val="44"/>
          <w:szCs w:val="44"/>
          <w:highlight w:val="none"/>
          <w:lang w:eastAsia="zh-CN"/>
        </w:rPr>
        <w:t>危险化学品</w:t>
      </w:r>
      <w:r>
        <w:rPr>
          <w:rFonts w:hint="eastAsia" w:ascii="方正小标宋简体" w:hAnsi="方正小标宋简体" w:eastAsia="方正小标宋简体" w:cs="方正小标宋简体"/>
          <w:b w:val="0"/>
          <w:bCs w:val="0"/>
          <w:sz w:val="44"/>
          <w:szCs w:val="44"/>
          <w:highlight w:val="none"/>
          <w:lang w:val="en-US" w:eastAsia="zh-CN"/>
        </w:rPr>
        <w:t>“打非治违”</w:t>
      </w:r>
    </w:p>
    <w:p w14:paraId="3969FD2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val="en-US" w:eastAsia="zh-CN"/>
        </w:rPr>
        <w:t>危险化学品检测鉴定</w:t>
      </w:r>
      <w:r>
        <w:rPr>
          <w:rFonts w:hint="eastAsia" w:ascii="方正小标宋简体" w:hAnsi="方正小标宋简体" w:eastAsia="方正小标宋简体" w:cs="方正小标宋简体"/>
          <w:b w:val="0"/>
          <w:bCs w:val="0"/>
          <w:sz w:val="44"/>
          <w:szCs w:val="44"/>
          <w:highlight w:val="none"/>
        </w:rPr>
        <w:t>项目</w:t>
      </w:r>
      <w:r>
        <w:rPr>
          <w:rFonts w:hint="eastAsia" w:ascii="方正小标宋简体" w:hAnsi="方正小标宋简体" w:eastAsia="方正小标宋简体" w:cs="方正小标宋简体"/>
          <w:b w:val="0"/>
          <w:bCs w:val="0"/>
          <w:sz w:val="44"/>
          <w:szCs w:val="44"/>
          <w:highlight w:val="none"/>
          <w:lang w:eastAsia="zh-CN"/>
        </w:rPr>
        <w:t>采购</w:t>
      </w:r>
      <w:r>
        <w:rPr>
          <w:rFonts w:hint="eastAsia" w:ascii="方正小标宋简体" w:hAnsi="方正小标宋简体" w:eastAsia="方正小标宋简体" w:cs="方正小标宋简体"/>
          <w:b w:val="0"/>
          <w:bCs w:val="0"/>
          <w:sz w:val="44"/>
          <w:szCs w:val="44"/>
          <w:highlight w:val="none"/>
        </w:rPr>
        <w:t>需求书</w:t>
      </w:r>
    </w:p>
    <w:p w14:paraId="332322B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华康简标题宋" w:eastAsia="华康简标题宋"/>
          <w:sz w:val="41"/>
          <w:szCs w:val="41"/>
          <w:highlight w:val="none"/>
        </w:rPr>
      </w:pPr>
    </w:p>
    <w:bookmarkEnd w:id="0"/>
    <w:bookmarkEnd w:id="1"/>
    <w:bookmarkEnd w:id="2"/>
    <w:bookmarkEnd w:id="3"/>
    <w:p w14:paraId="695F96A7">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第一部分</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项目</w:t>
      </w:r>
      <w:r>
        <w:rPr>
          <w:rFonts w:hint="eastAsia" w:ascii="黑体" w:hAnsi="黑体" w:eastAsia="黑体" w:cs="黑体"/>
          <w:sz w:val="32"/>
          <w:szCs w:val="32"/>
          <w:highlight w:val="none"/>
          <w:lang w:eastAsia="zh-CN"/>
        </w:rPr>
        <w:t>基本情况</w:t>
      </w:r>
    </w:p>
    <w:p w14:paraId="368396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14:paraId="0771D9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lang w:eastAsia="zh-CN"/>
        </w:rPr>
        <w:t>为</w:t>
      </w:r>
      <w:r>
        <w:rPr>
          <w:rFonts w:hint="default" w:ascii="Times New Roman" w:hAnsi="Times New Roman" w:eastAsia="仿宋_GB2312" w:cs="Times New Roman"/>
          <w:sz w:val="32"/>
          <w:szCs w:val="32"/>
        </w:rPr>
        <w:t>深入贯彻习近平总书记关于安全生产工作的重要论述和批示指示精神</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完善</w:t>
      </w:r>
      <w:r>
        <w:rPr>
          <w:rFonts w:hint="eastAsia" w:eastAsia="仿宋_GB2312" w:cs="Times New Roman"/>
          <w:sz w:val="32"/>
          <w:szCs w:val="32"/>
          <w:lang w:eastAsia="zh-CN"/>
        </w:rPr>
        <w:t>我市</w:t>
      </w:r>
      <w:r>
        <w:rPr>
          <w:rFonts w:hint="default" w:ascii="Times New Roman" w:hAnsi="Times New Roman" w:eastAsia="仿宋_GB2312" w:cs="Times New Roman"/>
          <w:sz w:val="32"/>
          <w:szCs w:val="32"/>
          <w:lang w:eastAsia="zh-CN"/>
        </w:rPr>
        <w:t>危险化学品</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打非治违</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工作</w:t>
      </w:r>
      <w:r>
        <w:rPr>
          <w:rFonts w:hint="eastAsia" w:ascii="Times New Roman" w:hAnsi="Times New Roman" w:eastAsia="仿宋_GB2312" w:cs="Times New Roman"/>
          <w:sz w:val="32"/>
          <w:szCs w:val="32"/>
          <w:lang w:eastAsia="zh-CN"/>
        </w:rPr>
        <w:t>机制</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快速查处</w:t>
      </w:r>
      <w:r>
        <w:rPr>
          <w:rFonts w:hint="default" w:ascii="Times New Roman" w:hAnsi="Times New Roman" w:eastAsia="仿宋_GB2312" w:cs="Times New Roman"/>
          <w:sz w:val="32"/>
          <w:szCs w:val="32"/>
          <w:lang w:val="en-US" w:eastAsia="zh-CN"/>
        </w:rPr>
        <w:t>危险化学品</w:t>
      </w:r>
      <w:r>
        <w:rPr>
          <w:rFonts w:hint="eastAsia" w:eastAsia="仿宋_GB2312" w:cs="Times New Roman"/>
          <w:sz w:val="32"/>
          <w:szCs w:val="32"/>
          <w:lang w:val="en-US" w:eastAsia="zh-CN"/>
        </w:rPr>
        <w:t>非法违法行为，</w:t>
      </w:r>
      <w:r>
        <w:rPr>
          <w:rFonts w:hint="default" w:ascii="Times New Roman" w:hAnsi="Times New Roman" w:eastAsia="仿宋_GB2312" w:cs="Times New Roman"/>
          <w:sz w:val="32"/>
          <w:szCs w:val="32"/>
          <w:lang w:val="en-US" w:eastAsia="zh-CN"/>
        </w:rPr>
        <w:t>提升全市危险化学品</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打非治违</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案件查办质效和风险隐患清零成效，</w:t>
      </w:r>
      <w:r>
        <w:rPr>
          <w:rFonts w:hint="default" w:ascii="Times New Roman" w:hAnsi="Times New Roman" w:eastAsia="仿宋_GB2312" w:cs="Times New Roman"/>
          <w:sz w:val="32"/>
          <w:szCs w:val="32"/>
          <w:highlight w:val="none"/>
        </w:rPr>
        <w:t>东莞市应急管理局</w:t>
      </w:r>
      <w:r>
        <w:rPr>
          <w:rFonts w:hint="eastAsia"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委托</w:t>
      </w:r>
      <w:r>
        <w:rPr>
          <w:rFonts w:hint="eastAsia" w:eastAsia="仿宋_GB2312" w:cs="Times New Roman"/>
          <w:sz w:val="32"/>
          <w:szCs w:val="32"/>
          <w:highlight w:val="none"/>
          <w:lang w:val="en-US" w:eastAsia="zh-CN"/>
        </w:rPr>
        <w:t>1家化学品检测鉴定机构负责我市危险化学品</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打非治违</w:t>
      </w:r>
      <w:r>
        <w:rPr>
          <w:rFonts w:hint="eastAsia" w:ascii="仿宋_GB2312" w:hAnsi="仿宋_GB2312" w:eastAsia="仿宋_GB2312" w:cs="仿宋_GB2312"/>
          <w:sz w:val="32"/>
          <w:szCs w:val="32"/>
          <w:lang w:eastAsia="zh-CN"/>
        </w:rPr>
        <w:t>”</w:t>
      </w:r>
      <w:r>
        <w:rPr>
          <w:rFonts w:hint="eastAsia" w:eastAsia="仿宋_GB2312" w:cs="Times New Roman"/>
          <w:sz w:val="32"/>
          <w:szCs w:val="32"/>
          <w:lang w:eastAsia="zh-CN"/>
        </w:rPr>
        <w:t>案件涉及的危险化学品</w:t>
      </w:r>
      <w:r>
        <w:rPr>
          <w:rFonts w:hint="eastAsia" w:eastAsia="仿宋_GB2312" w:cs="Times New Roman"/>
          <w:sz w:val="32"/>
          <w:szCs w:val="32"/>
          <w:highlight w:val="none"/>
          <w:lang w:val="en-US" w:eastAsia="zh-CN"/>
        </w:rPr>
        <w:t>检测鉴定。</w:t>
      </w:r>
    </w:p>
    <w:p w14:paraId="2D2B4C5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二、采购人名称</w:t>
      </w:r>
    </w:p>
    <w:p w14:paraId="199FD0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东莞市应急管理局。</w:t>
      </w:r>
    </w:p>
    <w:p w14:paraId="62E04B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三、采购项目名称</w:t>
      </w:r>
    </w:p>
    <w:p w14:paraId="673BFC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2026</w:t>
      </w:r>
      <w:r>
        <w:rPr>
          <w:rFonts w:hint="eastAsia" w:ascii="Times New Roman" w:hAnsi="Times New Roman" w:eastAsia="仿宋_GB2312" w:cs="Times New Roman"/>
          <w:sz w:val="32"/>
          <w:szCs w:val="32"/>
          <w:highlight w:val="none"/>
          <w:lang w:val="en-US" w:eastAsia="zh-CN"/>
        </w:rPr>
        <w:t>东莞市应急管理局</w:t>
      </w:r>
      <w:r>
        <w:rPr>
          <w:rFonts w:hint="eastAsia" w:eastAsia="仿宋_GB2312" w:cs="Times New Roman"/>
          <w:sz w:val="32"/>
          <w:szCs w:val="32"/>
          <w:highlight w:val="none"/>
          <w:lang w:val="en-US" w:eastAsia="zh-CN"/>
        </w:rPr>
        <w:t>危险</w:t>
      </w:r>
      <w:r>
        <w:rPr>
          <w:rFonts w:hint="eastAsia" w:ascii="Times New Roman" w:hAnsi="Times New Roman" w:eastAsia="仿宋_GB2312" w:cs="Times New Roman"/>
          <w:sz w:val="32"/>
          <w:szCs w:val="32"/>
          <w:highlight w:val="none"/>
          <w:lang w:val="en-US" w:eastAsia="zh-CN"/>
        </w:rPr>
        <w:t>化学品</w:t>
      </w:r>
      <w:r>
        <w:rPr>
          <w:rFonts w:hint="eastAsia" w:eastAsia="仿宋_GB2312" w:cs="Times New Roman"/>
          <w:sz w:val="32"/>
          <w:szCs w:val="32"/>
          <w:highlight w:val="none"/>
          <w:lang w:val="en-US" w:eastAsia="zh-CN"/>
        </w:rPr>
        <w:t>“打非治违”</w:t>
      </w:r>
      <w:r>
        <w:rPr>
          <w:rFonts w:hint="eastAsia" w:ascii="Times New Roman" w:hAnsi="Times New Roman" w:eastAsia="仿宋_GB2312" w:cs="Times New Roman"/>
          <w:sz w:val="32"/>
          <w:szCs w:val="32"/>
          <w:highlight w:val="none"/>
          <w:lang w:val="en-US" w:eastAsia="zh-CN"/>
        </w:rPr>
        <w:t>检测鉴定</w:t>
      </w:r>
      <w:r>
        <w:rPr>
          <w:rFonts w:hint="eastAsia" w:eastAsia="仿宋_GB2312" w:cs="Times New Roman"/>
          <w:sz w:val="32"/>
          <w:szCs w:val="32"/>
          <w:highlight w:val="none"/>
          <w:lang w:val="en-US" w:eastAsia="zh-CN"/>
        </w:rPr>
        <w:t>项目。</w:t>
      </w:r>
    </w:p>
    <w:p w14:paraId="5BDACC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四、预算金额</w:t>
      </w:r>
    </w:p>
    <w:p w14:paraId="125AC8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w:t>
      </w:r>
      <w:r>
        <w:rPr>
          <w:rFonts w:hint="eastAsia"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lang w:val="en-US" w:eastAsia="zh-CN"/>
        </w:rPr>
        <w:t>万元（含税）（大写：玖拾万元整）</w:t>
      </w:r>
      <w:r>
        <w:rPr>
          <w:rFonts w:hint="eastAsia" w:eastAsia="仿宋_GB2312" w:cs="Times New Roman"/>
          <w:sz w:val="32"/>
          <w:szCs w:val="32"/>
          <w:highlight w:val="none"/>
          <w:lang w:val="en-US" w:eastAsia="zh-CN"/>
        </w:rPr>
        <w:t>。</w:t>
      </w:r>
      <w:bookmarkStart w:id="4" w:name="_GoBack"/>
      <w:bookmarkEnd w:id="4"/>
    </w:p>
    <w:p w14:paraId="747A42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14:paraId="23DA6651">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第二部分 采购需求</w:t>
      </w:r>
    </w:p>
    <w:p w14:paraId="138F8A9C">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ind w:left="620" w:left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一、项目具体内容</w:t>
      </w:r>
    </w:p>
    <w:p w14:paraId="334B138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危险</w:t>
      </w:r>
      <w:r>
        <w:rPr>
          <w:rFonts w:hint="eastAsia" w:ascii="Times New Roman" w:hAnsi="Times New Roman" w:eastAsia="仿宋_GB2312" w:cs="Times New Roman"/>
          <w:sz w:val="32"/>
          <w:szCs w:val="32"/>
          <w:highlight w:val="none"/>
          <w:lang w:val="en-US" w:eastAsia="zh-CN"/>
        </w:rPr>
        <w:t>化学品检测鉴定</w:t>
      </w:r>
      <w:r>
        <w:rPr>
          <w:rFonts w:hint="eastAsia" w:eastAsia="仿宋_GB2312" w:cs="Times New Roman"/>
          <w:sz w:val="32"/>
          <w:szCs w:val="32"/>
          <w:highlight w:val="none"/>
          <w:lang w:val="en-US" w:eastAsia="zh-CN"/>
        </w:rPr>
        <w:t>项目具体含以下内容：</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样品</w:t>
      </w:r>
      <w:r>
        <w:rPr>
          <w:rFonts w:hint="eastAsia" w:ascii="Times New Roman" w:hAnsi="Times New Roman" w:eastAsia="仿宋_GB2312" w:cs="Times New Roman"/>
          <w:sz w:val="32"/>
          <w:szCs w:val="32"/>
          <w:highlight w:val="none"/>
          <w:lang w:eastAsia="zh-CN"/>
        </w:rPr>
        <w:t>抽取</w:t>
      </w:r>
      <w:r>
        <w:rPr>
          <w:rFonts w:hint="default" w:ascii="Times New Roman" w:hAnsi="Times New Roman" w:eastAsia="仿宋_GB2312" w:cs="Times New Roman"/>
          <w:sz w:val="32"/>
          <w:szCs w:val="32"/>
          <w:highlight w:val="none"/>
        </w:rPr>
        <w:t>与运输</w:t>
      </w: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实验室检测分析</w:t>
      </w: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3.</w:t>
      </w:r>
      <w:r>
        <w:rPr>
          <w:rFonts w:hint="eastAsia" w:eastAsia="仿宋_GB2312" w:cs="Times New Roman"/>
          <w:sz w:val="32"/>
          <w:szCs w:val="32"/>
          <w:highlight w:val="none"/>
          <w:lang w:val="en-US" w:eastAsia="zh-CN"/>
        </w:rPr>
        <w:t>出具检测鉴定</w:t>
      </w:r>
      <w:r>
        <w:rPr>
          <w:rFonts w:hint="default" w:ascii="Times New Roman" w:hAnsi="Times New Roman" w:eastAsia="仿宋_GB2312" w:cs="Times New Roman"/>
          <w:sz w:val="32"/>
          <w:szCs w:val="32"/>
          <w:highlight w:val="none"/>
        </w:rPr>
        <w:t>报告</w:t>
      </w: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4.</w:t>
      </w:r>
      <w:r>
        <w:rPr>
          <w:rFonts w:hint="eastAsia" w:eastAsia="仿宋_GB2312" w:cs="Times New Roman"/>
          <w:sz w:val="32"/>
          <w:szCs w:val="32"/>
          <w:highlight w:val="none"/>
          <w:lang w:val="en-US" w:eastAsia="zh-CN"/>
        </w:rPr>
        <w:t>检测鉴定</w:t>
      </w:r>
      <w:r>
        <w:rPr>
          <w:rFonts w:hint="default" w:ascii="Times New Roman" w:hAnsi="Times New Roman" w:eastAsia="仿宋_GB2312" w:cs="Times New Roman"/>
          <w:sz w:val="32"/>
          <w:szCs w:val="32"/>
          <w:highlight w:val="none"/>
        </w:rPr>
        <w:t>结果咨询与</w:t>
      </w:r>
      <w:r>
        <w:rPr>
          <w:rFonts w:hint="eastAsia" w:ascii="Times New Roman" w:hAnsi="Times New Roman" w:eastAsia="仿宋_GB2312" w:cs="Times New Roman"/>
          <w:sz w:val="32"/>
          <w:szCs w:val="32"/>
          <w:highlight w:val="none"/>
          <w:lang w:eastAsia="zh-CN"/>
        </w:rPr>
        <w:t>解读</w:t>
      </w:r>
      <w:r>
        <w:rPr>
          <w:rFonts w:hint="eastAsia" w:eastAsia="仿宋_GB2312" w:cs="Times New Roman"/>
          <w:sz w:val="32"/>
          <w:szCs w:val="32"/>
          <w:highlight w:val="none"/>
          <w:lang w:eastAsia="zh-CN"/>
        </w:rPr>
        <w:t>。</w:t>
      </w:r>
    </w:p>
    <w:p w14:paraId="04A854CC">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ind w:left="620" w:left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二、供应商能力要求</w:t>
      </w:r>
    </w:p>
    <w:p w14:paraId="1D3DEE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（一）技术能力</w:t>
      </w:r>
    </w:p>
    <w:p w14:paraId="19E05A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检测方法需符合国家/行业标准（如GB/T、ISO等），并具备CMA或CNAS资质认证。配备先进的检测设备及专业技术人员（需持有相关专业资格证书）。</w:t>
      </w:r>
    </w:p>
    <w:p w14:paraId="6C7D1F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（二）抽样取样能力</w:t>
      </w:r>
    </w:p>
    <w:p w14:paraId="7DB482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eastAsia="仿宋_GB2312" w:cs="Times New Roman"/>
          <w:sz w:val="32"/>
          <w:szCs w:val="32"/>
          <w:highlight w:val="none"/>
          <w:lang w:val="en-US" w:eastAsia="zh-CN"/>
        </w:rPr>
      </w:pPr>
      <w:r>
        <w:rPr>
          <w:rFonts w:hint="eastAsia" w:eastAsia="仿宋_GB2312" w:cs="Times New Roman"/>
          <w:sz w:val="32"/>
          <w:szCs w:val="32"/>
          <w:highlight w:val="none"/>
          <w:lang w:val="en-US" w:eastAsia="zh-CN"/>
        </w:rPr>
        <w:t>具备到东莞市行政区域内指定的生产作业区域抽样取样能力，配合到东莞市行政区域外抽样取样能力。</w:t>
      </w:r>
    </w:p>
    <w:p w14:paraId="7F9A1C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（三）检测鉴定能力</w:t>
      </w:r>
    </w:p>
    <w:p w14:paraId="2E11709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自样品接收之日起10个工作日内完成检测鉴定并出具报告。</w:t>
      </w:r>
    </w:p>
    <w:p w14:paraId="2B0558D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（四）复核能力</w:t>
      </w:r>
    </w:p>
    <w:p w14:paraId="6BB003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对需要复核的检测鉴定结果，不得安排负责第一次检测鉴定的技术人员开展复核，并在10个工作日内完成复核。</w:t>
      </w:r>
    </w:p>
    <w:p w14:paraId="48EBB6F7">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ind w:left="620" w:left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三、商务要求</w:t>
      </w:r>
    </w:p>
    <w:p w14:paraId="60B7C9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（一）服务期限</w:t>
      </w:r>
    </w:p>
    <w:p w14:paraId="6166B8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合同签订之日起至2026年12月31日，具体以合同约定为准。</w:t>
      </w:r>
    </w:p>
    <w:p w14:paraId="54E8B95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（二）服务地点</w:t>
      </w:r>
    </w:p>
    <w:p w14:paraId="30D2066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采购方指定地点。</w:t>
      </w:r>
    </w:p>
    <w:p w14:paraId="425566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（三）验收内容</w:t>
      </w:r>
    </w:p>
    <w:p w14:paraId="1581A2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报告内容需根据检测鉴定项目，包含样品信息、检测方法、数据结果、结论建议等内容，并加盖检测鉴定机构公章。报告文件格式为电子版（PDF）及纸质版（盖章原件）。检测鉴定方法和报告内容符合法律法规和国家标准，且采购方无异议。</w:t>
      </w:r>
    </w:p>
    <w:p w14:paraId="0EA4D798">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ind w:left="620" w:left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四、供应商资质要求</w:t>
      </w:r>
    </w:p>
    <w:p w14:paraId="127F8E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按照《中华人民共和国政府采购法》第二十二条规定，提供下列材料：</w:t>
      </w:r>
    </w:p>
    <w:p w14:paraId="3E084E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（一）具有独立承担民事责任的能力，在中华人民共和国境内注册的法人或其他组织或自然人，响应采购时应提供有效的营业执照（或事业单位登记证等相关证明）复印件。</w:t>
      </w:r>
    </w:p>
    <w:p w14:paraId="3025095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（二）具有良好的商业信誉和健全的财务会计制度，提供《资格条件承诺函》。</w:t>
      </w:r>
    </w:p>
    <w:p w14:paraId="75B9BD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s="Times New Roman"/>
          <w:sz w:val="32"/>
          <w:szCs w:val="32"/>
          <w:highlight w:val="none"/>
          <w:lang w:val="en-US" w:eastAsia="zh-CN"/>
        </w:rPr>
      </w:pPr>
      <w:r>
        <w:rPr>
          <w:rFonts w:hint="eastAsia" w:eastAsia="仿宋_GB2312" w:cs="Times New Roman"/>
          <w:sz w:val="32"/>
          <w:szCs w:val="32"/>
          <w:highlight w:val="none"/>
          <w:lang w:val="en-US" w:eastAsia="zh-CN"/>
        </w:rPr>
        <w:t>（三）具有履行合同所必需的设备和专业技术能力，具备CMA或CNAS实验室认证资质。</w:t>
      </w:r>
    </w:p>
    <w:p w14:paraId="0878D22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（四）有依法缴纳税收和社会保障资金的良好记录，提供2026年以来任意1个月依法缴纳税收和社会保障资金的相关材料。</w:t>
      </w:r>
    </w:p>
    <w:p w14:paraId="48276B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（五）参加政府采购活动前三年内，在经营活动中没有重大违法记录，未被列入“信用中国”失信被执行人名单，无重大违法记录。</w:t>
      </w:r>
    </w:p>
    <w:p w14:paraId="7FB73D00">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ind w:left="620" w:left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五、响应报价说明</w:t>
      </w:r>
    </w:p>
    <w:p w14:paraId="62A862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（一）本项目以单价形式进行报价，报价包含抽样送检、检测鉴定、出具结果报告等一切费用。</w:t>
      </w:r>
    </w:p>
    <w:p w14:paraId="4BE402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（二）响应文件的递交与要求</w:t>
      </w:r>
    </w:p>
    <w:p w14:paraId="68A53A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1.供应商提供的服务应以人民币为单位进行报价，货币单位：元。</w:t>
      </w:r>
    </w:p>
    <w:p w14:paraId="7898F2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s="Times New Roman"/>
          <w:sz w:val="32"/>
          <w:szCs w:val="32"/>
          <w:highlight w:val="none"/>
          <w:lang w:val="en-US" w:eastAsia="zh-CN"/>
        </w:rPr>
      </w:pPr>
      <w:r>
        <w:rPr>
          <w:rFonts w:hint="eastAsia" w:eastAsia="仿宋_GB2312" w:cs="Times New Roman"/>
          <w:sz w:val="32"/>
          <w:szCs w:val="32"/>
          <w:highlight w:val="none"/>
          <w:lang w:val="en-US" w:eastAsia="zh-CN"/>
        </w:rPr>
        <w:t>2.响应文件提交。截止时间：采购需求挂网之日起5个工作日内将有关材料报送至东莞市东城街道八一路1号机关二号大院8号楼502室，逾期不受理。响应文件主要包含以下内容，文件一式四份：</w:t>
      </w:r>
    </w:p>
    <w:p w14:paraId="4FB92F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（1）营业执照副本或事业单位法人证副本或组织机构代码副本复印件（加盖公章）；</w:t>
      </w:r>
    </w:p>
    <w:p w14:paraId="31C9AD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（2）提供《资格条件承诺函》（加盖公章）；</w:t>
      </w:r>
    </w:p>
    <w:p w14:paraId="591E94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（3）专业能力（资质）证明材料复印件（加盖公章）；</w:t>
      </w:r>
    </w:p>
    <w:p w14:paraId="61FD6B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（4）项目报价书（加盖公章）。</w:t>
      </w:r>
    </w:p>
    <w:p w14:paraId="3B542FCE">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ind w:left="620" w:left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六、支付方式</w:t>
      </w:r>
    </w:p>
    <w:p w14:paraId="2A82DB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s="Times New Roman"/>
          <w:sz w:val="32"/>
          <w:szCs w:val="32"/>
          <w:highlight w:val="none"/>
          <w:lang w:val="en-US" w:eastAsia="zh-CN"/>
        </w:rPr>
      </w:pPr>
      <w:r>
        <w:rPr>
          <w:rFonts w:hint="eastAsia" w:eastAsia="仿宋_GB2312" w:cs="Times New Roman"/>
          <w:sz w:val="32"/>
          <w:szCs w:val="32"/>
          <w:highlight w:val="none"/>
          <w:lang w:val="en-US" w:eastAsia="zh-CN"/>
        </w:rPr>
        <w:t>（一）鉴于危险化学品“打非治违”案件的突发性，相关检测鉴定费用支付方式采取逐次据实支付，即每产生一次抽样检测鉴定服务，支付一次费用。</w:t>
      </w:r>
    </w:p>
    <w:p w14:paraId="276323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s="Times New Roman"/>
          <w:sz w:val="32"/>
          <w:szCs w:val="32"/>
          <w:highlight w:val="none"/>
          <w:lang w:val="en-US" w:eastAsia="zh-CN"/>
        </w:rPr>
      </w:pPr>
      <w:r>
        <w:rPr>
          <w:rFonts w:hint="eastAsia" w:eastAsia="仿宋_GB2312" w:cs="Times New Roman"/>
          <w:sz w:val="32"/>
          <w:szCs w:val="32"/>
          <w:highlight w:val="none"/>
          <w:lang w:val="en-US" w:eastAsia="zh-CN"/>
        </w:rPr>
        <w:t>（二）付款前，供应商应为采购方开具相应金额的一次抽样检测鉴定费用发票，并与其他请款材料一并提交给采购方，采购方确认请款材料无误后，15个工作日内付款。</w:t>
      </w:r>
    </w:p>
    <w:p w14:paraId="0968C2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s="Times New Roman"/>
          <w:sz w:val="32"/>
          <w:szCs w:val="32"/>
          <w:highlight w:val="none"/>
          <w:lang w:val="en-US" w:eastAsia="zh-CN"/>
        </w:rPr>
      </w:pPr>
    </w:p>
    <w:p w14:paraId="432B23B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第三部分 评分标准</w:t>
      </w:r>
    </w:p>
    <w:p w14:paraId="10F98D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1.商务部分（35分）</w:t>
      </w:r>
    </w:p>
    <w:p w14:paraId="79EDC9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2.技术部分（50分）</w:t>
      </w:r>
    </w:p>
    <w:p w14:paraId="74D802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3.价格部分（15分）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3566"/>
        <w:gridCol w:w="3956"/>
      </w:tblGrid>
      <w:tr w14:paraId="22B5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06CBD44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序号</w:t>
            </w:r>
          </w:p>
        </w:tc>
        <w:tc>
          <w:tcPr>
            <w:tcW w:w="3566" w:type="dxa"/>
            <w:vAlign w:val="center"/>
          </w:tcPr>
          <w:p w14:paraId="1CBF27B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评分内容</w:t>
            </w:r>
          </w:p>
        </w:tc>
        <w:tc>
          <w:tcPr>
            <w:tcW w:w="3956" w:type="dxa"/>
            <w:vAlign w:val="center"/>
          </w:tcPr>
          <w:p w14:paraId="2D766FA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评分标准</w:t>
            </w:r>
          </w:p>
        </w:tc>
      </w:tr>
      <w:tr w14:paraId="220E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0CA7EF7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商务部分（共35分）</w:t>
            </w:r>
          </w:p>
        </w:tc>
      </w:tr>
      <w:tr w14:paraId="1655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5408AFD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1</w:t>
            </w:r>
          </w:p>
        </w:tc>
        <w:tc>
          <w:tcPr>
            <w:tcW w:w="3566" w:type="dxa"/>
            <w:vAlign w:val="center"/>
          </w:tcPr>
          <w:p w14:paraId="4C59B0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供应商资质（10分）</w:t>
            </w:r>
          </w:p>
        </w:tc>
        <w:tc>
          <w:tcPr>
            <w:tcW w:w="3956" w:type="dxa"/>
            <w:vAlign w:val="center"/>
          </w:tcPr>
          <w:p w14:paraId="3026D85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lang w:val="en-US" w:eastAsia="zh-CN"/>
              </w:rPr>
              <w:t>具有履行合同所必需的设备和专业技术能力，具备CMA或CNAS实验室认证资质。具备CMA资质得5分，具备CNAS资质得5分。最高得10分。</w:t>
            </w:r>
            <w:r>
              <w:rPr>
                <w:rFonts w:hint="eastAsia" w:eastAsia="仿宋_GB2312" w:cs="Times New Roman"/>
                <w:sz w:val="32"/>
                <w:szCs w:val="32"/>
                <w:highlight w:val="none"/>
                <w:vertAlign w:val="baseline"/>
                <w:lang w:val="en-US" w:eastAsia="zh-CN"/>
              </w:rPr>
              <w:t>（出具相应的资质复印件）</w:t>
            </w:r>
          </w:p>
        </w:tc>
      </w:tr>
      <w:tr w14:paraId="3C88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4926762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2</w:t>
            </w:r>
          </w:p>
        </w:tc>
        <w:tc>
          <w:tcPr>
            <w:tcW w:w="3566" w:type="dxa"/>
            <w:vAlign w:val="center"/>
          </w:tcPr>
          <w:p w14:paraId="23FD0E2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人员投入情况（10分）</w:t>
            </w:r>
          </w:p>
        </w:tc>
        <w:tc>
          <w:tcPr>
            <w:tcW w:w="3956" w:type="dxa"/>
            <w:vAlign w:val="center"/>
          </w:tcPr>
          <w:p w14:paraId="6730B6C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技术人员具有副高级（或以上）职称，每一人得2分，最高6分；具有中级以上职称，每一人得1分，最高4分。最高得10分。（出具相应的员工社保缴纳证明）</w:t>
            </w:r>
          </w:p>
        </w:tc>
      </w:tr>
      <w:tr w14:paraId="6EF9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7B4E9BF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3</w:t>
            </w:r>
          </w:p>
        </w:tc>
        <w:tc>
          <w:tcPr>
            <w:tcW w:w="3566" w:type="dxa"/>
            <w:vAlign w:val="center"/>
          </w:tcPr>
          <w:p w14:paraId="04D2316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供应商服务业绩（15分）</w:t>
            </w:r>
          </w:p>
        </w:tc>
        <w:tc>
          <w:tcPr>
            <w:tcW w:w="3956" w:type="dxa"/>
            <w:vAlign w:val="center"/>
          </w:tcPr>
          <w:p w14:paraId="3EB48E4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近2年为全市镇街应急管理分局提供危险化学品检测鉴定服务，每服务1个镇街应急管理分局得1分。最高得15分。（提供向对应分局出具的检测鉴定报告复印件）</w:t>
            </w:r>
          </w:p>
        </w:tc>
      </w:tr>
      <w:tr w14:paraId="19FF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6DC77E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技术部分（共50分）</w:t>
            </w:r>
          </w:p>
        </w:tc>
      </w:tr>
      <w:tr w14:paraId="48F4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5747B11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1</w:t>
            </w:r>
          </w:p>
        </w:tc>
        <w:tc>
          <w:tcPr>
            <w:tcW w:w="3566" w:type="dxa"/>
            <w:vAlign w:val="center"/>
          </w:tcPr>
          <w:p w14:paraId="30EE7F7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项目重点、难点的理解（10分）</w:t>
            </w:r>
          </w:p>
        </w:tc>
        <w:tc>
          <w:tcPr>
            <w:tcW w:w="3956" w:type="dxa"/>
            <w:vAlign w:val="center"/>
          </w:tcPr>
          <w:p w14:paraId="393EE4F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根据供应商对本项目的理解程度进行评审，方案包括但不限于：（1）对采购需求书用户需求的理解；（2）对项目重点、难点的理解。每项得5分，最高得10分。不提供方案不得分。</w:t>
            </w:r>
          </w:p>
        </w:tc>
      </w:tr>
      <w:tr w14:paraId="00C6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12CB08A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2</w:t>
            </w:r>
          </w:p>
        </w:tc>
        <w:tc>
          <w:tcPr>
            <w:tcW w:w="3566" w:type="dxa"/>
            <w:vAlign w:val="center"/>
          </w:tcPr>
          <w:p w14:paraId="7F842EE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服务方案（10分）</w:t>
            </w:r>
          </w:p>
        </w:tc>
        <w:tc>
          <w:tcPr>
            <w:tcW w:w="3956" w:type="dxa"/>
            <w:vAlign w:val="center"/>
          </w:tcPr>
          <w:p w14:paraId="044050C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根据供应商提供的项目方案进行评审，方案应包括但不限于：（1）工作计划；（2）工作内容与方案。</w:t>
            </w:r>
          </w:p>
          <w:p w14:paraId="392486F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每项得5分，最高得10分。</w:t>
            </w:r>
          </w:p>
        </w:tc>
      </w:tr>
      <w:tr w14:paraId="0E2E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shd w:val="clear" w:color="auto" w:fill="auto"/>
            <w:vAlign w:val="center"/>
          </w:tcPr>
          <w:p w14:paraId="5770F39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kern w:val="2"/>
                <w:sz w:val="32"/>
                <w:szCs w:val="32"/>
                <w:highlight w:val="none"/>
                <w:vertAlign w:val="baseline"/>
                <w:lang w:val="en-US" w:eastAsia="zh-CN" w:bidi="ar-SA"/>
              </w:rPr>
            </w:pPr>
            <w:r>
              <w:rPr>
                <w:rFonts w:hint="eastAsia" w:eastAsia="仿宋_GB2312" w:cs="Times New Roman"/>
                <w:sz w:val="32"/>
                <w:szCs w:val="32"/>
                <w:highlight w:val="none"/>
                <w:vertAlign w:val="baseline"/>
                <w:lang w:val="en-US" w:eastAsia="zh-CN"/>
              </w:rPr>
              <w:t>3</w:t>
            </w:r>
          </w:p>
        </w:tc>
        <w:tc>
          <w:tcPr>
            <w:tcW w:w="3566" w:type="dxa"/>
            <w:shd w:val="clear" w:color="auto" w:fill="auto"/>
            <w:vAlign w:val="center"/>
          </w:tcPr>
          <w:p w14:paraId="0CF29F0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kern w:val="2"/>
                <w:sz w:val="32"/>
                <w:szCs w:val="32"/>
                <w:highlight w:val="none"/>
                <w:vertAlign w:val="baseline"/>
                <w:lang w:val="en-US" w:eastAsia="zh-CN" w:bidi="ar-SA"/>
              </w:rPr>
            </w:pPr>
            <w:r>
              <w:rPr>
                <w:rFonts w:hint="eastAsia" w:eastAsia="仿宋_GB2312" w:cs="Times New Roman"/>
                <w:sz w:val="32"/>
                <w:szCs w:val="32"/>
                <w:highlight w:val="none"/>
                <w:vertAlign w:val="baseline"/>
                <w:lang w:val="en-US" w:eastAsia="zh-CN"/>
              </w:rPr>
              <w:t>工作保证措施（10分）</w:t>
            </w:r>
          </w:p>
        </w:tc>
        <w:tc>
          <w:tcPr>
            <w:tcW w:w="3956" w:type="dxa"/>
            <w:shd w:val="clear" w:color="auto" w:fill="auto"/>
            <w:vAlign w:val="center"/>
          </w:tcPr>
          <w:p w14:paraId="213437F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Times New Roman"/>
                <w:kern w:val="2"/>
                <w:sz w:val="32"/>
                <w:szCs w:val="32"/>
                <w:highlight w:val="none"/>
                <w:vertAlign w:val="baseline"/>
                <w:lang w:val="en-US" w:eastAsia="zh-CN" w:bidi="ar-SA"/>
              </w:rPr>
            </w:pPr>
            <w:r>
              <w:rPr>
                <w:rFonts w:hint="eastAsia" w:eastAsia="仿宋_GB2312" w:cs="Times New Roman"/>
                <w:sz w:val="32"/>
                <w:szCs w:val="32"/>
                <w:highlight w:val="none"/>
                <w:vertAlign w:val="baseline"/>
                <w:lang w:val="en-US" w:eastAsia="zh-CN"/>
              </w:rPr>
              <w:t>根据供应商提供的工作保证措施进行评审，方案应包括但不限于：工作应急方案、设施设备、工作时限、人员配备、保障措施等内容。（1）工作保证措施全面，可行性高，得10分；（2）工作保证措施较全面，可行性较高，得6分；（3）工作保证措施一般、可行性一般，得3分；4）工作保证措施简单简陋、可行性差，得1分；（5）未提供对应方案的不得分。。</w:t>
            </w:r>
          </w:p>
        </w:tc>
      </w:tr>
      <w:tr w14:paraId="6D52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shd w:val="clear" w:color="auto" w:fill="auto"/>
            <w:vAlign w:val="center"/>
          </w:tcPr>
          <w:p w14:paraId="05BCF6F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kern w:val="2"/>
                <w:sz w:val="32"/>
                <w:szCs w:val="32"/>
                <w:highlight w:val="none"/>
                <w:vertAlign w:val="baseline"/>
                <w:lang w:val="en-US" w:eastAsia="zh-CN" w:bidi="ar-SA"/>
              </w:rPr>
            </w:pPr>
            <w:r>
              <w:rPr>
                <w:rFonts w:hint="eastAsia" w:eastAsia="仿宋_GB2312" w:cs="Times New Roman"/>
                <w:sz w:val="32"/>
                <w:szCs w:val="32"/>
                <w:highlight w:val="none"/>
                <w:vertAlign w:val="baseline"/>
                <w:lang w:val="en-US" w:eastAsia="zh-CN"/>
              </w:rPr>
              <w:t>4</w:t>
            </w:r>
          </w:p>
        </w:tc>
        <w:tc>
          <w:tcPr>
            <w:tcW w:w="3566" w:type="dxa"/>
            <w:shd w:val="clear" w:color="auto" w:fill="auto"/>
            <w:vAlign w:val="center"/>
          </w:tcPr>
          <w:p w14:paraId="1848B6E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kern w:val="2"/>
                <w:sz w:val="32"/>
                <w:szCs w:val="32"/>
                <w:highlight w:val="none"/>
                <w:vertAlign w:val="baseline"/>
                <w:lang w:val="en-US" w:eastAsia="zh-CN" w:bidi="ar-SA"/>
              </w:rPr>
            </w:pPr>
            <w:r>
              <w:rPr>
                <w:rFonts w:hint="eastAsia" w:eastAsia="仿宋_GB2312" w:cs="Times New Roman"/>
                <w:sz w:val="32"/>
                <w:szCs w:val="32"/>
                <w:highlight w:val="none"/>
                <w:vertAlign w:val="baseline"/>
                <w:lang w:val="en-US" w:eastAsia="zh-CN"/>
              </w:rPr>
              <w:t>供应商技术能力（10分）</w:t>
            </w:r>
          </w:p>
        </w:tc>
        <w:tc>
          <w:tcPr>
            <w:tcW w:w="3956" w:type="dxa"/>
            <w:shd w:val="clear" w:color="auto" w:fill="auto"/>
            <w:vAlign w:val="center"/>
          </w:tcPr>
          <w:p w14:paraId="59F1E59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Times New Roman"/>
                <w:kern w:val="2"/>
                <w:sz w:val="32"/>
                <w:szCs w:val="32"/>
                <w:highlight w:val="none"/>
                <w:vertAlign w:val="baseline"/>
                <w:lang w:val="en-US" w:eastAsia="zh-CN" w:bidi="ar-SA"/>
              </w:rPr>
            </w:pPr>
            <w:r>
              <w:rPr>
                <w:rFonts w:hint="eastAsia" w:eastAsia="仿宋_GB2312" w:cs="Times New Roman"/>
                <w:sz w:val="32"/>
                <w:szCs w:val="32"/>
                <w:highlight w:val="none"/>
                <w:vertAlign w:val="baseline"/>
                <w:lang w:val="en-US" w:eastAsia="zh-CN"/>
              </w:rPr>
              <w:t>供应商具备实验室危险化学品物理特性领域类别通过CMA/CNAS认可的；1、认可领域及项目类别在17项的，得10分；2、其他不得分。备注：投标文件中提供实验室检测认定领域类别证明文件复印件加盖公章，否则不计分。（详见附表）</w:t>
            </w:r>
          </w:p>
        </w:tc>
      </w:tr>
      <w:tr w14:paraId="25FD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3E875D6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5</w:t>
            </w:r>
          </w:p>
        </w:tc>
        <w:tc>
          <w:tcPr>
            <w:tcW w:w="3566" w:type="dxa"/>
            <w:vAlign w:val="center"/>
          </w:tcPr>
          <w:p w14:paraId="264C52E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供应商</w:t>
            </w:r>
            <w:r>
              <w:rPr>
                <w:rFonts w:hint="eastAsia" w:ascii="Times New Roman" w:hAnsi="Times New Roman" w:eastAsia="仿宋_GB2312" w:cs="Times New Roman"/>
                <w:sz w:val="32"/>
                <w:szCs w:val="32"/>
                <w:highlight w:val="none"/>
                <w:vertAlign w:val="baseline"/>
                <w:lang w:val="en-US" w:eastAsia="zh-CN"/>
              </w:rPr>
              <w:t>服务支撑能力</w:t>
            </w:r>
            <w:r>
              <w:rPr>
                <w:rFonts w:hint="eastAsia" w:eastAsia="仿宋_GB2312" w:cs="Times New Roman"/>
                <w:sz w:val="32"/>
                <w:szCs w:val="32"/>
                <w:highlight w:val="none"/>
                <w:vertAlign w:val="baseline"/>
                <w:lang w:val="en-US" w:eastAsia="zh-CN"/>
              </w:rPr>
              <w:t>（10分）</w:t>
            </w:r>
          </w:p>
        </w:tc>
        <w:tc>
          <w:tcPr>
            <w:tcW w:w="3956" w:type="dxa"/>
            <w:vAlign w:val="center"/>
          </w:tcPr>
          <w:p w14:paraId="6DFB4A2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（1）投标人承诺在1小时内（不含</w:t>
            </w:r>
            <w:r>
              <w:rPr>
                <w:rFonts w:hint="eastAsia" w:eastAsia="仿宋_GB2312" w:cs="Times New Roman"/>
                <w:sz w:val="32"/>
                <w:szCs w:val="32"/>
                <w:highlight w:val="none"/>
                <w:vertAlign w:val="baseline"/>
                <w:lang w:val="en-US" w:eastAsia="zh-CN"/>
              </w:rPr>
              <w:t>1小时</w:t>
            </w:r>
            <w:r>
              <w:rPr>
                <w:rFonts w:hint="eastAsia" w:ascii="Times New Roman" w:hAnsi="Times New Roman" w:eastAsia="仿宋_GB2312" w:cs="Times New Roman"/>
                <w:sz w:val="32"/>
                <w:szCs w:val="32"/>
                <w:highlight w:val="none"/>
                <w:vertAlign w:val="baseline"/>
                <w:lang w:val="en-US" w:eastAsia="zh-CN"/>
              </w:rPr>
              <w:t>）到达采购人市内指定地点（采购人办公区域）采样的，得10分；（2）投标人承诺2小时内（不含</w:t>
            </w:r>
            <w:r>
              <w:rPr>
                <w:rFonts w:hint="eastAsia" w:eastAsia="仿宋_GB2312" w:cs="Times New Roman"/>
                <w:sz w:val="32"/>
                <w:szCs w:val="32"/>
                <w:highlight w:val="none"/>
                <w:vertAlign w:val="baseline"/>
                <w:lang w:val="en-US" w:eastAsia="zh-CN"/>
              </w:rPr>
              <w:t>2小时</w:t>
            </w:r>
            <w:r>
              <w:rPr>
                <w:rFonts w:hint="eastAsia" w:ascii="Times New Roman" w:hAnsi="Times New Roman" w:eastAsia="仿宋_GB2312" w:cs="Times New Roman"/>
                <w:sz w:val="32"/>
                <w:szCs w:val="32"/>
                <w:highlight w:val="none"/>
                <w:vertAlign w:val="baseline"/>
                <w:lang w:val="en-US" w:eastAsia="zh-CN"/>
              </w:rPr>
              <w:t>）到达采购人市内指定地点（采购人办公区域）采样的，得6分；（3）投标人承诺3小时内（不含</w:t>
            </w:r>
            <w:r>
              <w:rPr>
                <w:rFonts w:hint="eastAsia" w:eastAsia="仿宋_GB2312" w:cs="Times New Roman"/>
                <w:sz w:val="32"/>
                <w:szCs w:val="32"/>
                <w:highlight w:val="none"/>
                <w:vertAlign w:val="baseline"/>
                <w:lang w:val="en-US" w:eastAsia="zh-CN"/>
              </w:rPr>
              <w:t>3小时</w:t>
            </w:r>
            <w:r>
              <w:rPr>
                <w:rFonts w:hint="eastAsia" w:ascii="Times New Roman" w:hAnsi="Times New Roman" w:eastAsia="仿宋_GB2312" w:cs="Times New Roman"/>
                <w:sz w:val="32"/>
                <w:szCs w:val="32"/>
                <w:highlight w:val="none"/>
                <w:vertAlign w:val="baseline"/>
                <w:lang w:val="en-US" w:eastAsia="zh-CN"/>
              </w:rPr>
              <w:t>）到达采购人市内指定地点（采购人办公区域）采样的，得3分；（4）其他情况不得分。</w:t>
            </w:r>
          </w:p>
          <w:p w14:paraId="253ABA8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注：需提交百度</w:t>
            </w:r>
            <w:r>
              <w:rPr>
                <w:rFonts w:hint="eastAsia" w:eastAsia="仿宋_GB2312" w:cs="Times New Roman"/>
                <w:sz w:val="32"/>
                <w:szCs w:val="32"/>
                <w:highlight w:val="none"/>
                <w:vertAlign w:val="baseline"/>
                <w:lang w:val="en-US" w:eastAsia="zh-CN"/>
              </w:rPr>
              <w:t>或高德</w:t>
            </w:r>
            <w:r>
              <w:rPr>
                <w:rFonts w:hint="eastAsia" w:ascii="Times New Roman" w:hAnsi="Times New Roman" w:eastAsia="仿宋_GB2312" w:cs="Times New Roman"/>
                <w:sz w:val="32"/>
                <w:szCs w:val="32"/>
                <w:highlight w:val="none"/>
                <w:vertAlign w:val="baseline"/>
                <w:lang w:val="en-US" w:eastAsia="zh-CN"/>
              </w:rPr>
              <w:t>地图</w:t>
            </w:r>
            <w:r>
              <w:rPr>
                <w:rFonts w:hint="eastAsia" w:eastAsia="仿宋_GB2312" w:cs="Times New Roman"/>
                <w:sz w:val="32"/>
                <w:szCs w:val="32"/>
                <w:highlight w:val="none"/>
                <w:vertAlign w:val="baseline"/>
                <w:lang w:val="en-US" w:eastAsia="zh-CN"/>
              </w:rPr>
              <w:t>软件</w:t>
            </w:r>
            <w:r>
              <w:rPr>
                <w:rFonts w:hint="eastAsia" w:ascii="Times New Roman" w:hAnsi="Times New Roman" w:eastAsia="仿宋_GB2312" w:cs="Times New Roman"/>
                <w:sz w:val="32"/>
                <w:szCs w:val="32"/>
                <w:highlight w:val="none"/>
                <w:vertAlign w:val="baseline"/>
                <w:lang w:val="en-US" w:eastAsia="zh-CN"/>
              </w:rPr>
              <w:t>的导航截图证明材料。</w:t>
            </w:r>
          </w:p>
        </w:tc>
      </w:tr>
      <w:tr w14:paraId="4CE1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6AD345F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价格部分（共15分）</w:t>
            </w:r>
          </w:p>
        </w:tc>
      </w:tr>
      <w:tr w14:paraId="78FA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522" w:type="dxa"/>
            <w:gridSpan w:val="3"/>
            <w:vAlign w:val="center"/>
          </w:tcPr>
          <w:p w14:paraId="7E2CDD7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本项目采用单价报价，每满足1项单价条件得5分，最高得15分。</w:t>
            </w:r>
          </w:p>
          <w:p w14:paraId="75BAF20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vertAlign w:val="baseline"/>
                <w:lang w:val="en-US" w:eastAsia="zh-CN"/>
              </w:rPr>
              <w:t>单价1：</w:t>
            </w:r>
            <w:r>
              <w:rPr>
                <w:rFonts w:hint="default" w:ascii="Times New Roman" w:hAnsi="Times New Roman" w:eastAsia="仿宋_GB2312" w:cs="Times New Roman"/>
                <w:sz w:val="32"/>
                <w:szCs w:val="32"/>
                <w:highlight w:val="none"/>
              </w:rPr>
              <w:t>样品</w:t>
            </w:r>
            <w:r>
              <w:rPr>
                <w:rFonts w:hint="eastAsia" w:ascii="Times New Roman" w:hAnsi="Times New Roman" w:eastAsia="仿宋_GB2312" w:cs="Times New Roman"/>
                <w:sz w:val="32"/>
                <w:szCs w:val="32"/>
                <w:highlight w:val="none"/>
                <w:lang w:eastAsia="zh-CN"/>
              </w:rPr>
              <w:t>抽取</w:t>
            </w:r>
            <w:r>
              <w:rPr>
                <w:rFonts w:hint="default" w:ascii="Times New Roman" w:hAnsi="Times New Roman" w:eastAsia="仿宋_GB2312" w:cs="Times New Roman"/>
                <w:sz w:val="32"/>
                <w:szCs w:val="32"/>
                <w:highlight w:val="none"/>
              </w:rPr>
              <w:t>与运输</w:t>
            </w:r>
            <w:r>
              <w:rPr>
                <w:rFonts w:hint="eastAsia" w:eastAsia="仿宋_GB2312" w:cs="Times New Roman"/>
                <w:sz w:val="32"/>
                <w:szCs w:val="32"/>
                <w:highlight w:val="none"/>
                <w:lang w:eastAsia="zh-CN"/>
              </w:rPr>
              <w:t>费用≤</w:t>
            </w:r>
            <w:r>
              <w:rPr>
                <w:rFonts w:hint="eastAsia" w:eastAsia="仿宋_GB2312" w:cs="Times New Roman"/>
                <w:sz w:val="32"/>
                <w:szCs w:val="32"/>
                <w:highlight w:val="none"/>
                <w:lang w:val="en-US" w:eastAsia="zh-CN"/>
              </w:rPr>
              <w:t>400元；</w:t>
            </w:r>
          </w:p>
          <w:p w14:paraId="793A496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单价2：闪点检测鉴定费用</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500元；</w:t>
            </w:r>
          </w:p>
          <w:p w14:paraId="26C161E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单价3：物理危险性检测鉴定费用</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3000元；</w:t>
            </w:r>
          </w:p>
          <w:p w14:paraId="2785A1E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eastAsia="仿宋_GB2312" w:cs="Times New Roman"/>
                <w:sz w:val="32"/>
                <w:szCs w:val="32"/>
                <w:highlight w:val="none"/>
                <w:lang w:val="en-US" w:eastAsia="zh-CN"/>
              </w:rPr>
            </w:pPr>
            <w:r>
              <w:rPr>
                <w:rFonts w:hint="eastAsia" w:eastAsia="仿宋_GB2312" w:cs="Times New Roman"/>
                <w:sz w:val="32"/>
                <w:szCs w:val="32"/>
                <w:highlight w:val="none"/>
                <w:lang w:val="en-US" w:eastAsia="zh-CN"/>
              </w:rPr>
              <w:t>单价4：成分分析检测费用</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6500元。</w:t>
            </w:r>
          </w:p>
        </w:tc>
      </w:tr>
    </w:tbl>
    <w:p w14:paraId="607312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s="Times New Roman"/>
          <w:sz w:val="32"/>
          <w:szCs w:val="32"/>
          <w:highlight w:val="none"/>
          <w:lang w:val="en-US" w:eastAsia="zh-CN"/>
        </w:rPr>
      </w:pPr>
    </w:p>
    <w:p w14:paraId="7744F3CC">
      <w:pPr>
        <w:jc w:val="center"/>
        <w:rPr>
          <w:rFonts w:hint="eastAsia" w:eastAsia="宋体"/>
          <w:sz w:val="28"/>
          <w:szCs w:val="28"/>
          <w:lang w:val="en-US" w:eastAsia="zh-CN"/>
        </w:rPr>
      </w:pPr>
      <w:r>
        <w:rPr>
          <w:rFonts w:hint="eastAsia"/>
          <w:sz w:val="44"/>
          <w:szCs w:val="44"/>
          <w:lang w:val="en-US" w:eastAsia="zh-CN"/>
        </w:rPr>
        <w:t>附表 检测项目资质认可</w:t>
      </w:r>
      <w:r>
        <w:rPr>
          <w:rFonts w:hint="eastAsia"/>
          <w:sz w:val="44"/>
          <w:szCs w:val="44"/>
        </w:rPr>
        <w:t>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3135"/>
        <w:gridCol w:w="2400"/>
        <w:gridCol w:w="2121"/>
      </w:tblGrid>
      <w:tr w14:paraId="2937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6C7A834">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序号</w:t>
            </w:r>
          </w:p>
        </w:tc>
        <w:tc>
          <w:tcPr>
            <w:tcW w:w="3745" w:type="dxa"/>
            <w:vAlign w:val="center"/>
          </w:tcPr>
          <w:p w14:paraId="1CE9D236">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检测项目</w:t>
            </w:r>
          </w:p>
        </w:tc>
        <w:tc>
          <w:tcPr>
            <w:tcW w:w="2808" w:type="dxa"/>
            <w:vAlign w:val="center"/>
          </w:tcPr>
          <w:p w14:paraId="3EB4B16C">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是否CMA认可</w:t>
            </w:r>
          </w:p>
        </w:tc>
        <w:tc>
          <w:tcPr>
            <w:tcW w:w="2432" w:type="dxa"/>
            <w:vAlign w:val="center"/>
          </w:tcPr>
          <w:p w14:paraId="518A15BC">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是否CNAS认可</w:t>
            </w:r>
          </w:p>
        </w:tc>
      </w:tr>
      <w:tr w14:paraId="35D2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BEC5D3D">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3745" w:type="dxa"/>
            <w:vAlign w:val="center"/>
          </w:tcPr>
          <w:p w14:paraId="34EBEA51">
            <w:pPr>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6"/>
                <w:sz w:val="28"/>
                <w:szCs w:val="28"/>
              </w:rPr>
              <w:t>爆炸物</w:t>
            </w:r>
          </w:p>
        </w:tc>
        <w:tc>
          <w:tcPr>
            <w:tcW w:w="2808" w:type="dxa"/>
            <w:vAlign w:val="center"/>
          </w:tcPr>
          <w:p w14:paraId="366900B8">
            <w:pPr>
              <w:jc w:val="center"/>
              <w:rPr>
                <w:rFonts w:hint="eastAsia" w:ascii="仿宋_GB2312" w:hAnsi="仿宋_GB2312" w:eastAsia="仿宋_GB2312" w:cs="仿宋_GB2312"/>
                <w:b w:val="0"/>
                <w:bCs w:val="0"/>
                <w:sz w:val="28"/>
                <w:szCs w:val="28"/>
                <w:vertAlign w:val="baseline"/>
              </w:rPr>
            </w:pPr>
          </w:p>
        </w:tc>
        <w:tc>
          <w:tcPr>
            <w:tcW w:w="2432" w:type="dxa"/>
            <w:vAlign w:val="center"/>
          </w:tcPr>
          <w:p w14:paraId="5273ACB4">
            <w:pPr>
              <w:jc w:val="center"/>
              <w:rPr>
                <w:rFonts w:hint="eastAsia" w:ascii="仿宋_GB2312" w:hAnsi="仿宋_GB2312" w:eastAsia="仿宋_GB2312" w:cs="仿宋_GB2312"/>
                <w:b w:val="0"/>
                <w:bCs w:val="0"/>
                <w:sz w:val="28"/>
                <w:szCs w:val="28"/>
                <w:vertAlign w:val="baseline"/>
              </w:rPr>
            </w:pPr>
          </w:p>
        </w:tc>
      </w:tr>
      <w:tr w14:paraId="76BE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7BFEE5C">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3745" w:type="dxa"/>
            <w:vAlign w:val="center"/>
          </w:tcPr>
          <w:p w14:paraId="26FEF04F">
            <w:pPr>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3"/>
                <w:sz w:val="28"/>
                <w:szCs w:val="28"/>
              </w:rPr>
              <w:t>易燃气体</w:t>
            </w:r>
          </w:p>
        </w:tc>
        <w:tc>
          <w:tcPr>
            <w:tcW w:w="2808" w:type="dxa"/>
            <w:vAlign w:val="center"/>
          </w:tcPr>
          <w:p w14:paraId="050D51FA">
            <w:pPr>
              <w:jc w:val="center"/>
              <w:rPr>
                <w:rFonts w:hint="eastAsia" w:ascii="仿宋_GB2312" w:hAnsi="仿宋_GB2312" w:eastAsia="仿宋_GB2312" w:cs="仿宋_GB2312"/>
                <w:b w:val="0"/>
                <w:bCs w:val="0"/>
                <w:sz w:val="28"/>
                <w:szCs w:val="28"/>
                <w:vertAlign w:val="baseline"/>
              </w:rPr>
            </w:pPr>
          </w:p>
        </w:tc>
        <w:tc>
          <w:tcPr>
            <w:tcW w:w="2432" w:type="dxa"/>
            <w:vAlign w:val="center"/>
          </w:tcPr>
          <w:p w14:paraId="09ADE730">
            <w:pPr>
              <w:jc w:val="center"/>
              <w:rPr>
                <w:rFonts w:hint="eastAsia" w:ascii="仿宋_GB2312" w:hAnsi="仿宋_GB2312" w:eastAsia="仿宋_GB2312" w:cs="仿宋_GB2312"/>
                <w:b w:val="0"/>
                <w:bCs w:val="0"/>
                <w:sz w:val="28"/>
                <w:szCs w:val="28"/>
                <w:vertAlign w:val="baseline"/>
              </w:rPr>
            </w:pPr>
          </w:p>
        </w:tc>
      </w:tr>
      <w:tr w14:paraId="5E4A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2" w:type="dxa"/>
            <w:vAlign w:val="center"/>
          </w:tcPr>
          <w:p w14:paraId="2EB3EA6A">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3745" w:type="dxa"/>
            <w:vAlign w:val="center"/>
          </w:tcPr>
          <w:p w14:paraId="69BE7C83">
            <w:pPr>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1"/>
                <w:sz w:val="28"/>
                <w:szCs w:val="28"/>
              </w:rPr>
              <w:t>气雾剂</w:t>
            </w:r>
          </w:p>
        </w:tc>
        <w:tc>
          <w:tcPr>
            <w:tcW w:w="2808" w:type="dxa"/>
            <w:vAlign w:val="center"/>
          </w:tcPr>
          <w:p w14:paraId="3300700E">
            <w:pPr>
              <w:jc w:val="center"/>
              <w:rPr>
                <w:rFonts w:hint="eastAsia" w:ascii="仿宋_GB2312" w:hAnsi="仿宋_GB2312" w:eastAsia="仿宋_GB2312" w:cs="仿宋_GB2312"/>
                <w:b w:val="0"/>
                <w:bCs w:val="0"/>
                <w:sz w:val="28"/>
                <w:szCs w:val="28"/>
                <w:vertAlign w:val="baseline"/>
              </w:rPr>
            </w:pPr>
          </w:p>
        </w:tc>
        <w:tc>
          <w:tcPr>
            <w:tcW w:w="2432" w:type="dxa"/>
            <w:vAlign w:val="center"/>
          </w:tcPr>
          <w:p w14:paraId="4E37D3FA">
            <w:pPr>
              <w:jc w:val="center"/>
              <w:rPr>
                <w:rFonts w:hint="eastAsia" w:ascii="仿宋_GB2312" w:hAnsi="仿宋_GB2312" w:eastAsia="仿宋_GB2312" w:cs="仿宋_GB2312"/>
                <w:b w:val="0"/>
                <w:bCs w:val="0"/>
                <w:sz w:val="28"/>
                <w:szCs w:val="28"/>
                <w:vertAlign w:val="baseline"/>
              </w:rPr>
            </w:pPr>
          </w:p>
        </w:tc>
      </w:tr>
      <w:tr w14:paraId="7025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6D523709">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3745" w:type="dxa"/>
            <w:vAlign w:val="center"/>
          </w:tcPr>
          <w:p w14:paraId="09A1F597">
            <w:pPr>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6"/>
                <w:sz w:val="28"/>
                <w:szCs w:val="28"/>
              </w:rPr>
              <w:t>氧化气体</w:t>
            </w:r>
          </w:p>
        </w:tc>
        <w:tc>
          <w:tcPr>
            <w:tcW w:w="2808" w:type="dxa"/>
            <w:vAlign w:val="center"/>
          </w:tcPr>
          <w:p w14:paraId="678FD49C">
            <w:pPr>
              <w:jc w:val="center"/>
              <w:rPr>
                <w:rFonts w:hint="eastAsia" w:ascii="仿宋_GB2312" w:hAnsi="仿宋_GB2312" w:eastAsia="仿宋_GB2312" w:cs="仿宋_GB2312"/>
                <w:b w:val="0"/>
                <w:bCs w:val="0"/>
                <w:sz w:val="28"/>
                <w:szCs w:val="28"/>
                <w:vertAlign w:val="baseline"/>
              </w:rPr>
            </w:pPr>
          </w:p>
        </w:tc>
        <w:tc>
          <w:tcPr>
            <w:tcW w:w="2432" w:type="dxa"/>
            <w:vAlign w:val="center"/>
          </w:tcPr>
          <w:p w14:paraId="5707EEEF">
            <w:pPr>
              <w:jc w:val="center"/>
              <w:rPr>
                <w:rFonts w:hint="eastAsia" w:ascii="仿宋_GB2312" w:hAnsi="仿宋_GB2312" w:eastAsia="仿宋_GB2312" w:cs="仿宋_GB2312"/>
                <w:b w:val="0"/>
                <w:bCs w:val="0"/>
                <w:sz w:val="28"/>
                <w:szCs w:val="28"/>
                <w:vertAlign w:val="baseline"/>
              </w:rPr>
            </w:pPr>
          </w:p>
        </w:tc>
      </w:tr>
      <w:tr w14:paraId="6A6A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58B3CCA">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3745" w:type="dxa"/>
            <w:vAlign w:val="center"/>
          </w:tcPr>
          <w:p w14:paraId="574C04B7">
            <w:pPr>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6"/>
                <w:sz w:val="28"/>
                <w:szCs w:val="28"/>
              </w:rPr>
              <w:t>加压气体</w:t>
            </w:r>
          </w:p>
        </w:tc>
        <w:tc>
          <w:tcPr>
            <w:tcW w:w="2808" w:type="dxa"/>
            <w:vAlign w:val="center"/>
          </w:tcPr>
          <w:p w14:paraId="5565EE57">
            <w:pPr>
              <w:jc w:val="center"/>
              <w:rPr>
                <w:rFonts w:hint="eastAsia" w:ascii="仿宋_GB2312" w:hAnsi="仿宋_GB2312" w:eastAsia="仿宋_GB2312" w:cs="仿宋_GB2312"/>
                <w:b w:val="0"/>
                <w:bCs w:val="0"/>
                <w:sz w:val="28"/>
                <w:szCs w:val="28"/>
                <w:vertAlign w:val="baseline"/>
              </w:rPr>
            </w:pPr>
          </w:p>
        </w:tc>
        <w:tc>
          <w:tcPr>
            <w:tcW w:w="2432" w:type="dxa"/>
            <w:vAlign w:val="center"/>
          </w:tcPr>
          <w:p w14:paraId="05057795">
            <w:pPr>
              <w:jc w:val="center"/>
              <w:rPr>
                <w:rFonts w:hint="eastAsia" w:ascii="仿宋_GB2312" w:hAnsi="仿宋_GB2312" w:eastAsia="仿宋_GB2312" w:cs="仿宋_GB2312"/>
                <w:b w:val="0"/>
                <w:bCs w:val="0"/>
                <w:sz w:val="28"/>
                <w:szCs w:val="28"/>
                <w:vertAlign w:val="baseline"/>
              </w:rPr>
            </w:pPr>
          </w:p>
        </w:tc>
      </w:tr>
      <w:tr w14:paraId="17EB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57BB7348">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w:t>
            </w:r>
          </w:p>
        </w:tc>
        <w:tc>
          <w:tcPr>
            <w:tcW w:w="3745" w:type="dxa"/>
            <w:vAlign w:val="center"/>
          </w:tcPr>
          <w:p w14:paraId="262FC53C">
            <w:pPr>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3"/>
                <w:sz w:val="28"/>
                <w:szCs w:val="28"/>
              </w:rPr>
              <w:t>易燃液体</w:t>
            </w:r>
          </w:p>
        </w:tc>
        <w:tc>
          <w:tcPr>
            <w:tcW w:w="2808" w:type="dxa"/>
            <w:vAlign w:val="center"/>
          </w:tcPr>
          <w:p w14:paraId="0C781C11">
            <w:pPr>
              <w:jc w:val="center"/>
              <w:rPr>
                <w:rFonts w:hint="eastAsia" w:ascii="仿宋_GB2312" w:hAnsi="仿宋_GB2312" w:eastAsia="仿宋_GB2312" w:cs="仿宋_GB2312"/>
                <w:b w:val="0"/>
                <w:bCs w:val="0"/>
                <w:sz w:val="28"/>
                <w:szCs w:val="28"/>
                <w:vertAlign w:val="baseline"/>
              </w:rPr>
            </w:pPr>
          </w:p>
        </w:tc>
        <w:tc>
          <w:tcPr>
            <w:tcW w:w="2432" w:type="dxa"/>
            <w:vAlign w:val="center"/>
          </w:tcPr>
          <w:p w14:paraId="7565142C">
            <w:pPr>
              <w:jc w:val="center"/>
              <w:rPr>
                <w:rFonts w:hint="eastAsia" w:ascii="仿宋_GB2312" w:hAnsi="仿宋_GB2312" w:eastAsia="仿宋_GB2312" w:cs="仿宋_GB2312"/>
                <w:b w:val="0"/>
                <w:bCs w:val="0"/>
                <w:sz w:val="28"/>
                <w:szCs w:val="28"/>
                <w:vertAlign w:val="baseline"/>
              </w:rPr>
            </w:pPr>
          </w:p>
        </w:tc>
      </w:tr>
      <w:tr w14:paraId="4879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2" w:type="dxa"/>
            <w:vAlign w:val="center"/>
          </w:tcPr>
          <w:p w14:paraId="20729BD9">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w:t>
            </w:r>
          </w:p>
        </w:tc>
        <w:tc>
          <w:tcPr>
            <w:tcW w:w="3745" w:type="dxa"/>
            <w:vAlign w:val="center"/>
          </w:tcPr>
          <w:p w14:paraId="0320515A">
            <w:pPr>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3"/>
                <w:sz w:val="28"/>
                <w:szCs w:val="28"/>
              </w:rPr>
              <w:t>易燃固体</w:t>
            </w:r>
          </w:p>
        </w:tc>
        <w:tc>
          <w:tcPr>
            <w:tcW w:w="2808" w:type="dxa"/>
            <w:vAlign w:val="center"/>
          </w:tcPr>
          <w:p w14:paraId="61FD40FD">
            <w:pPr>
              <w:jc w:val="center"/>
              <w:rPr>
                <w:rFonts w:hint="eastAsia" w:ascii="仿宋_GB2312" w:hAnsi="仿宋_GB2312" w:eastAsia="仿宋_GB2312" w:cs="仿宋_GB2312"/>
                <w:b w:val="0"/>
                <w:bCs w:val="0"/>
                <w:sz w:val="28"/>
                <w:szCs w:val="28"/>
                <w:vertAlign w:val="baseline"/>
              </w:rPr>
            </w:pPr>
          </w:p>
        </w:tc>
        <w:tc>
          <w:tcPr>
            <w:tcW w:w="2432" w:type="dxa"/>
            <w:vAlign w:val="center"/>
          </w:tcPr>
          <w:p w14:paraId="12BDAD7E">
            <w:pPr>
              <w:jc w:val="center"/>
              <w:rPr>
                <w:rFonts w:hint="eastAsia" w:ascii="仿宋_GB2312" w:hAnsi="仿宋_GB2312" w:eastAsia="仿宋_GB2312" w:cs="仿宋_GB2312"/>
                <w:b w:val="0"/>
                <w:bCs w:val="0"/>
                <w:sz w:val="28"/>
                <w:szCs w:val="28"/>
                <w:vertAlign w:val="baseline"/>
              </w:rPr>
            </w:pPr>
          </w:p>
        </w:tc>
      </w:tr>
      <w:tr w14:paraId="54D7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11F15D48">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8</w:t>
            </w:r>
          </w:p>
        </w:tc>
        <w:tc>
          <w:tcPr>
            <w:tcW w:w="3745" w:type="dxa"/>
            <w:vAlign w:val="center"/>
          </w:tcPr>
          <w:p w14:paraId="0E793312">
            <w:pPr>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11"/>
                <w:sz w:val="28"/>
                <w:szCs w:val="28"/>
              </w:rPr>
              <w:t>自反应物质和</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pacing w:val="-4"/>
                <w:sz w:val="28"/>
                <w:szCs w:val="28"/>
              </w:rPr>
              <w:t>混合物</w:t>
            </w:r>
          </w:p>
        </w:tc>
        <w:tc>
          <w:tcPr>
            <w:tcW w:w="2808" w:type="dxa"/>
            <w:vAlign w:val="center"/>
          </w:tcPr>
          <w:p w14:paraId="297198F3">
            <w:pPr>
              <w:jc w:val="center"/>
              <w:rPr>
                <w:rFonts w:hint="eastAsia" w:ascii="仿宋_GB2312" w:hAnsi="仿宋_GB2312" w:eastAsia="仿宋_GB2312" w:cs="仿宋_GB2312"/>
                <w:b w:val="0"/>
                <w:bCs w:val="0"/>
                <w:sz w:val="28"/>
                <w:szCs w:val="28"/>
                <w:vertAlign w:val="baseline"/>
              </w:rPr>
            </w:pPr>
          </w:p>
        </w:tc>
        <w:tc>
          <w:tcPr>
            <w:tcW w:w="2432" w:type="dxa"/>
            <w:vAlign w:val="center"/>
          </w:tcPr>
          <w:p w14:paraId="58F966AF">
            <w:pPr>
              <w:jc w:val="center"/>
              <w:rPr>
                <w:rFonts w:hint="eastAsia" w:ascii="仿宋_GB2312" w:hAnsi="仿宋_GB2312" w:eastAsia="仿宋_GB2312" w:cs="仿宋_GB2312"/>
                <w:b w:val="0"/>
                <w:bCs w:val="0"/>
                <w:sz w:val="28"/>
                <w:szCs w:val="28"/>
                <w:vertAlign w:val="baseline"/>
              </w:rPr>
            </w:pPr>
          </w:p>
        </w:tc>
      </w:tr>
      <w:tr w14:paraId="25FA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109C18E4">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9</w:t>
            </w:r>
          </w:p>
        </w:tc>
        <w:tc>
          <w:tcPr>
            <w:tcW w:w="3745" w:type="dxa"/>
            <w:vAlign w:val="center"/>
          </w:tcPr>
          <w:p w14:paraId="26361E5A">
            <w:pPr>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3"/>
                <w:sz w:val="28"/>
                <w:szCs w:val="28"/>
              </w:rPr>
              <w:t>发火液体</w:t>
            </w:r>
          </w:p>
        </w:tc>
        <w:tc>
          <w:tcPr>
            <w:tcW w:w="2808" w:type="dxa"/>
            <w:vAlign w:val="center"/>
          </w:tcPr>
          <w:p w14:paraId="19C608A6">
            <w:pPr>
              <w:jc w:val="center"/>
              <w:rPr>
                <w:rFonts w:hint="eastAsia" w:ascii="仿宋_GB2312" w:hAnsi="仿宋_GB2312" w:eastAsia="仿宋_GB2312" w:cs="仿宋_GB2312"/>
                <w:b w:val="0"/>
                <w:bCs w:val="0"/>
                <w:sz w:val="28"/>
                <w:szCs w:val="28"/>
                <w:vertAlign w:val="baseline"/>
              </w:rPr>
            </w:pPr>
          </w:p>
        </w:tc>
        <w:tc>
          <w:tcPr>
            <w:tcW w:w="2432" w:type="dxa"/>
            <w:vAlign w:val="center"/>
          </w:tcPr>
          <w:p w14:paraId="04879BA6">
            <w:pPr>
              <w:jc w:val="center"/>
              <w:rPr>
                <w:rFonts w:hint="eastAsia" w:ascii="仿宋_GB2312" w:hAnsi="仿宋_GB2312" w:eastAsia="仿宋_GB2312" w:cs="仿宋_GB2312"/>
                <w:b w:val="0"/>
                <w:bCs w:val="0"/>
                <w:sz w:val="28"/>
                <w:szCs w:val="28"/>
                <w:vertAlign w:val="baseline"/>
              </w:rPr>
            </w:pPr>
          </w:p>
        </w:tc>
      </w:tr>
      <w:tr w14:paraId="4340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59C0ADE8">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10</w:t>
            </w:r>
          </w:p>
        </w:tc>
        <w:tc>
          <w:tcPr>
            <w:tcW w:w="3745" w:type="dxa"/>
            <w:vAlign w:val="center"/>
          </w:tcPr>
          <w:p w14:paraId="70667DED">
            <w:pPr>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3"/>
                <w:sz w:val="28"/>
                <w:szCs w:val="28"/>
              </w:rPr>
              <w:t>发火固体</w:t>
            </w:r>
          </w:p>
        </w:tc>
        <w:tc>
          <w:tcPr>
            <w:tcW w:w="2808" w:type="dxa"/>
            <w:vAlign w:val="center"/>
          </w:tcPr>
          <w:p w14:paraId="2500BDBE">
            <w:pPr>
              <w:jc w:val="center"/>
              <w:rPr>
                <w:rFonts w:hint="eastAsia" w:ascii="仿宋_GB2312" w:hAnsi="仿宋_GB2312" w:eastAsia="仿宋_GB2312" w:cs="仿宋_GB2312"/>
                <w:b w:val="0"/>
                <w:bCs w:val="0"/>
                <w:sz w:val="28"/>
                <w:szCs w:val="28"/>
                <w:vertAlign w:val="baseline"/>
              </w:rPr>
            </w:pPr>
          </w:p>
        </w:tc>
        <w:tc>
          <w:tcPr>
            <w:tcW w:w="2432" w:type="dxa"/>
            <w:vAlign w:val="center"/>
          </w:tcPr>
          <w:p w14:paraId="16C864F0">
            <w:pPr>
              <w:jc w:val="center"/>
              <w:rPr>
                <w:rFonts w:hint="eastAsia" w:ascii="仿宋_GB2312" w:hAnsi="仿宋_GB2312" w:eastAsia="仿宋_GB2312" w:cs="仿宋_GB2312"/>
                <w:b w:val="0"/>
                <w:bCs w:val="0"/>
                <w:sz w:val="28"/>
                <w:szCs w:val="28"/>
                <w:vertAlign w:val="baseline"/>
              </w:rPr>
            </w:pPr>
          </w:p>
        </w:tc>
      </w:tr>
      <w:tr w14:paraId="2D2E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2" w:type="dxa"/>
            <w:vAlign w:val="center"/>
          </w:tcPr>
          <w:p w14:paraId="319EC658">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11</w:t>
            </w:r>
          </w:p>
        </w:tc>
        <w:tc>
          <w:tcPr>
            <w:tcW w:w="3745" w:type="dxa"/>
            <w:vAlign w:val="center"/>
          </w:tcPr>
          <w:p w14:paraId="4B6B96BC">
            <w:pPr>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11"/>
                <w:sz w:val="28"/>
                <w:szCs w:val="28"/>
              </w:rPr>
              <w:t>自热物质和混</w:t>
            </w:r>
            <w:r>
              <w:rPr>
                <w:rFonts w:hint="eastAsia" w:ascii="仿宋_GB2312" w:hAnsi="仿宋_GB2312" w:eastAsia="仿宋_GB2312" w:cs="仿宋_GB2312"/>
                <w:b w:val="0"/>
                <w:bCs w:val="0"/>
                <w:spacing w:val="4"/>
                <w:sz w:val="28"/>
                <w:szCs w:val="28"/>
              </w:rPr>
              <w:t xml:space="preserve"> </w:t>
            </w:r>
            <w:r>
              <w:rPr>
                <w:rFonts w:hint="eastAsia" w:ascii="仿宋_GB2312" w:hAnsi="仿宋_GB2312" w:eastAsia="仿宋_GB2312" w:cs="仿宋_GB2312"/>
                <w:b w:val="0"/>
                <w:bCs w:val="0"/>
                <w:spacing w:val="-7"/>
                <w:sz w:val="28"/>
                <w:szCs w:val="28"/>
              </w:rPr>
              <w:t>合物</w:t>
            </w:r>
          </w:p>
        </w:tc>
        <w:tc>
          <w:tcPr>
            <w:tcW w:w="2808" w:type="dxa"/>
            <w:vAlign w:val="center"/>
          </w:tcPr>
          <w:p w14:paraId="6F88EE86">
            <w:pPr>
              <w:jc w:val="center"/>
              <w:rPr>
                <w:rFonts w:hint="eastAsia" w:ascii="仿宋_GB2312" w:hAnsi="仿宋_GB2312" w:eastAsia="仿宋_GB2312" w:cs="仿宋_GB2312"/>
                <w:b w:val="0"/>
                <w:bCs w:val="0"/>
                <w:sz w:val="28"/>
                <w:szCs w:val="28"/>
                <w:vertAlign w:val="baseline"/>
              </w:rPr>
            </w:pPr>
          </w:p>
        </w:tc>
        <w:tc>
          <w:tcPr>
            <w:tcW w:w="2432" w:type="dxa"/>
            <w:vAlign w:val="center"/>
          </w:tcPr>
          <w:p w14:paraId="5C195422">
            <w:pPr>
              <w:jc w:val="center"/>
              <w:rPr>
                <w:rFonts w:hint="eastAsia" w:ascii="仿宋_GB2312" w:hAnsi="仿宋_GB2312" w:eastAsia="仿宋_GB2312" w:cs="仿宋_GB2312"/>
                <w:b w:val="0"/>
                <w:bCs w:val="0"/>
                <w:sz w:val="28"/>
                <w:szCs w:val="28"/>
                <w:vertAlign w:val="baseline"/>
              </w:rPr>
            </w:pPr>
          </w:p>
        </w:tc>
      </w:tr>
      <w:tr w14:paraId="7E14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58514A47">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12</w:t>
            </w:r>
          </w:p>
        </w:tc>
        <w:tc>
          <w:tcPr>
            <w:tcW w:w="3745" w:type="dxa"/>
            <w:vAlign w:val="center"/>
          </w:tcPr>
          <w:p w14:paraId="2294B3FC">
            <w:pPr>
              <w:pStyle w:val="17"/>
              <w:spacing w:before="71" w:line="219" w:lineRule="auto"/>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11"/>
                <w:sz w:val="28"/>
                <w:szCs w:val="28"/>
              </w:rPr>
              <w:t>遇水放出易燃气体的物质和</w:t>
            </w:r>
            <w:r>
              <w:rPr>
                <w:rFonts w:hint="eastAsia" w:ascii="仿宋_GB2312" w:hAnsi="仿宋_GB2312" w:eastAsia="仿宋_GB2312" w:cs="仿宋_GB2312"/>
                <w:b w:val="0"/>
                <w:bCs w:val="0"/>
                <w:spacing w:val="-1"/>
                <w:sz w:val="28"/>
                <w:szCs w:val="28"/>
              </w:rPr>
              <w:t>混合物</w:t>
            </w:r>
          </w:p>
        </w:tc>
        <w:tc>
          <w:tcPr>
            <w:tcW w:w="2808" w:type="dxa"/>
            <w:vAlign w:val="center"/>
          </w:tcPr>
          <w:p w14:paraId="7B4F35F3">
            <w:pPr>
              <w:jc w:val="center"/>
              <w:rPr>
                <w:rFonts w:hint="eastAsia" w:ascii="仿宋_GB2312" w:hAnsi="仿宋_GB2312" w:eastAsia="仿宋_GB2312" w:cs="仿宋_GB2312"/>
                <w:b w:val="0"/>
                <w:bCs w:val="0"/>
                <w:sz w:val="28"/>
                <w:szCs w:val="28"/>
                <w:vertAlign w:val="baseline"/>
              </w:rPr>
            </w:pPr>
          </w:p>
        </w:tc>
        <w:tc>
          <w:tcPr>
            <w:tcW w:w="2432" w:type="dxa"/>
            <w:vAlign w:val="center"/>
          </w:tcPr>
          <w:p w14:paraId="35F4E029">
            <w:pPr>
              <w:jc w:val="center"/>
              <w:rPr>
                <w:rFonts w:hint="eastAsia" w:ascii="仿宋_GB2312" w:hAnsi="仿宋_GB2312" w:eastAsia="仿宋_GB2312" w:cs="仿宋_GB2312"/>
                <w:b w:val="0"/>
                <w:bCs w:val="0"/>
                <w:sz w:val="28"/>
                <w:szCs w:val="28"/>
                <w:vertAlign w:val="baseline"/>
              </w:rPr>
            </w:pPr>
          </w:p>
        </w:tc>
      </w:tr>
      <w:tr w14:paraId="0B14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2281F415">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13</w:t>
            </w:r>
          </w:p>
        </w:tc>
        <w:tc>
          <w:tcPr>
            <w:tcW w:w="3745" w:type="dxa"/>
            <w:vAlign w:val="center"/>
          </w:tcPr>
          <w:p w14:paraId="16820814">
            <w:pPr>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6"/>
                <w:sz w:val="28"/>
                <w:szCs w:val="28"/>
              </w:rPr>
              <w:t>氧化性液体</w:t>
            </w:r>
          </w:p>
        </w:tc>
        <w:tc>
          <w:tcPr>
            <w:tcW w:w="2808" w:type="dxa"/>
            <w:vAlign w:val="center"/>
          </w:tcPr>
          <w:p w14:paraId="65676D33">
            <w:pPr>
              <w:jc w:val="center"/>
              <w:rPr>
                <w:rFonts w:hint="eastAsia" w:ascii="仿宋_GB2312" w:hAnsi="仿宋_GB2312" w:eastAsia="仿宋_GB2312" w:cs="仿宋_GB2312"/>
                <w:b w:val="0"/>
                <w:bCs w:val="0"/>
                <w:sz w:val="28"/>
                <w:szCs w:val="28"/>
                <w:vertAlign w:val="baseline"/>
              </w:rPr>
            </w:pPr>
          </w:p>
        </w:tc>
        <w:tc>
          <w:tcPr>
            <w:tcW w:w="2432" w:type="dxa"/>
            <w:vAlign w:val="center"/>
          </w:tcPr>
          <w:p w14:paraId="6F4D39DD">
            <w:pPr>
              <w:jc w:val="center"/>
              <w:rPr>
                <w:rFonts w:hint="eastAsia" w:ascii="仿宋_GB2312" w:hAnsi="仿宋_GB2312" w:eastAsia="仿宋_GB2312" w:cs="仿宋_GB2312"/>
                <w:b w:val="0"/>
                <w:bCs w:val="0"/>
                <w:sz w:val="28"/>
                <w:szCs w:val="28"/>
                <w:vertAlign w:val="baseline"/>
              </w:rPr>
            </w:pPr>
          </w:p>
        </w:tc>
      </w:tr>
      <w:tr w14:paraId="3BF6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19A3E1E">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14</w:t>
            </w:r>
          </w:p>
        </w:tc>
        <w:tc>
          <w:tcPr>
            <w:tcW w:w="3745" w:type="dxa"/>
            <w:vAlign w:val="center"/>
          </w:tcPr>
          <w:p w14:paraId="2A831F8D">
            <w:pPr>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6"/>
                <w:sz w:val="28"/>
                <w:szCs w:val="28"/>
              </w:rPr>
              <w:t>氧化性固体</w:t>
            </w:r>
          </w:p>
        </w:tc>
        <w:tc>
          <w:tcPr>
            <w:tcW w:w="2808" w:type="dxa"/>
            <w:vAlign w:val="center"/>
          </w:tcPr>
          <w:p w14:paraId="2D48AD54">
            <w:pPr>
              <w:jc w:val="center"/>
              <w:rPr>
                <w:rFonts w:hint="eastAsia" w:ascii="仿宋_GB2312" w:hAnsi="仿宋_GB2312" w:eastAsia="仿宋_GB2312" w:cs="仿宋_GB2312"/>
                <w:b w:val="0"/>
                <w:bCs w:val="0"/>
                <w:sz w:val="28"/>
                <w:szCs w:val="28"/>
                <w:vertAlign w:val="baseline"/>
              </w:rPr>
            </w:pPr>
          </w:p>
        </w:tc>
        <w:tc>
          <w:tcPr>
            <w:tcW w:w="2432" w:type="dxa"/>
            <w:vAlign w:val="center"/>
          </w:tcPr>
          <w:p w14:paraId="0DF8E0A9">
            <w:pPr>
              <w:jc w:val="center"/>
              <w:rPr>
                <w:rFonts w:hint="eastAsia" w:ascii="仿宋_GB2312" w:hAnsi="仿宋_GB2312" w:eastAsia="仿宋_GB2312" w:cs="仿宋_GB2312"/>
                <w:b w:val="0"/>
                <w:bCs w:val="0"/>
                <w:sz w:val="28"/>
                <w:szCs w:val="28"/>
                <w:vertAlign w:val="baseline"/>
              </w:rPr>
            </w:pPr>
          </w:p>
        </w:tc>
      </w:tr>
      <w:tr w14:paraId="0310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2" w:type="dxa"/>
            <w:vAlign w:val="center"/>
          </w:tcPr>
          <w:p w14:paraId="43D2BB0D">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15</w:t>
            </w:r>
          </w:p>
        </w:tc>
        <w:tc>
          <w:tcPr>
            <w:tcW w:w="3745" w:type="dxa"/>
            <w:vAlign w:val="center"/>
          </w:tcPr>
          <w:p w14:paraId="4DAF10B5">
            <w:pPr>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11"/>
                <w:sz w:val="28"/>
                <w:szCs w:val="28"/>
              </w:rPr>
              <w:t>有机过氧化物</w:t>
            </w:r>
          </w:p>
        </w:tc>
        <w:tc>
          <w:tcPr>
            <w:tcW w:w="2808" w:type="dxa"/>
            <w:vAlign w:val="center"/>
          </w:tcPr>
          <w:p w14:paraId="39D6126F">
            <w:pPr>
              <w:jc w:val="center"/>
              <w:rPr>
                <w:rFonts w:hint="eastAsia" w:ascii="仿宋_GB2312" w:hAnsi="仿宋_GB2312" w:eastAsia="仿宋_GB2312" w:cs="仿宋_GB2312"/>
                <w:b w:val="0"/>
                <w:bCs w:val="0"/>
                <w:sz w:val="28"/>
                <w:szCs w:val="28"/>
                <w:vertAlign w:val="baseline"/>
              </w:rPr>
            </w:pPr>
          </w:p>
        </w:tc>
        <w:tc>
          <w:tcPr>
            <w:tcW w:w="2432" w:type="dxa"/>
            <w:vAlign w:val="center"/>
          </w:tcPr>
          <w:p w14:paraId="01DB3AFD">
            <w:pPr>
              <w:jc w:val="center"/>
              <w:rPr>
                <w:rFonts w:hint="eastAsia" w:ascii="仿宋_GB2312" w:hAnsi="仿宋_GB2312" w:eastAsia="仿宋_GB2312" w:cs="仿宋_GB2312"/>
                <w:b w:val="0"/>
                <w:bCs w:val="0"/>
                <w:sz w:val="28"/>
                <w:szCs w:val="28"/>
                <w:vertAlign w:val="baseline"/>
              </w:rPr>
            </w:pPr>
          </w:p>
        </w:tc>
      </w:tr>
      <w:tr w14:paraId="1A18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342A4FD4">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16</w:t>
            </w:r>
          </w:p>
        </w:tc>
        <w:tc>
          <w:tcPr>
            <w:tcW w:w="3745" w:type="dxa"/>
            <w:vAlign w:val="center"/>
          </w:tcPr>
          <w:p w14:paraId="3DF1B128">
            <w:pPr>
              <w:jc w:val="center"/>
              <w:rPr>
                <w:rFonts w:hint="eastAsia" w:ascii="仿宋_GB2312" w:hAnsi="仿宋_GB2312" w:eastAsia="仿宋_GB2312" w:cs="仿宋_GB2312"/>
                <w:b w:val="0"/>
                <w:bCs w:val="0"/>
                <w:spacing w:val="-11"/>
                <w:sz w:val="28"/>
                <w:szCs w:val="28"/>
              </w:rPr>
            </w:pPr>
            <w:r>
              <w:rPr>
                <w:rFonts w:hint="eastAsia" w:ascii="仿宋_GB2312" w:hAnsi="仿宋_GB2312" w:eastAsia="仿宋_GB2312" w:cs="仿宋_GB2312"/>
                <w:b w:val="0"/>
                <w:bCs w:val="0"/>
                <w:spacing w:val="-2"/>
                <w:sz w:val="28"/>
                <w:szCs w:val="28"/>
              </w:rPr>
              <w:t>金属腐蚀物</w:t>
            </w:r>
          </w:p>
        </w:tc>
        <w:tc>
          <w:tcPr>
            <w:tcW w:w="2808" w:type="dxa"/>
            <w:vAlign w:val="center"/>
          </w:tcPr>
          <w:p w14:paraId="68BBB750">
            <w:pPr>
              <w:jc w:val="center"/>
              <w:rPr>
                <w:rFonts w:hint="eastAsia" w:ascii="仿宋_GB2312" w:hAnsi="仿宋_GB2312" w:eastAsia="仿宋_GB2312" w:cs="仿宋_GB2312"/>
                <w:b w:val="0"/>
                <w:bCs w:val="0"/>
                <w:sz w:val="28"/>
                <w:szCs w:val="28"/>
                <w:vertAlign w:val="baseline"/>
              </w:rPr>
            </w:pPr>
          </w:p>
        </w:tc>
        <w:tc>
          <w:tcPr>
            <w:tcW w:w="2432" w:type="dxa"/>
            <w:vAlign w:val="center"/>
          </w:tcPr>
          <w:p w14:paraId="1CF6F30E">
            <w:pPr>
              <w:jc w:val="center"/>
              <w:rPr>
                <w:rFonts w:hint="eastAsia" w:ascii="仿宋_GB2312" w:hAnsi="仿宋_GB2312" w:eastAsia="仿宋_GB2312" w:cs="仿宋_GB2312"/>
                <w:b w:val="0"/>
                <w:bCs w:val="0"/>
                <w:sz w:val="28"/>
                <w:szCs w:val="28"/>
                <w:vertAlign w:val="baseline"/>
              </w:rPr>
            </w:pPr>
          </w:p>
        </w:tc>
      </w:tr>
      <w:tr w14:paraId="1F6E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009D8025">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17</w:t>
            </w:r>
          </w:p>
        </w:tc>
        <w:tc>
          <w:tcPr>
            <w:tcW w:w="3745" w:type="dxa"/>
            <w:vAlign w:val="center"/>
          </w:tcPr>
          <w:p w14:paraId="511AEEF2">
            <w:pPr>
              <w:jc w:val="center"/>
              <w:rPr>
                <w:rFonts w:hint="eastAsia" w:ascii="仿宋_GB2312" w:hAnsi="仿宋_GB2312" w:eastAsia="仿宋_GB2312" w:cs="仿宋_GB2312"/>
                <w:b w:val="0"/>
                <w:bCs w:val="0"/>
                <w:spacing w:val="-11"/>
                <w:sz w:val="28"/>
                <w:szCs w:val="28"/>
              </w:rPr>
            </w:pPr>
            <w:r>
              <w:rPr>
                <w:rFonts w:hint="eastAsia" w:ascii="仿宋_GB2312" w:hAnsi="仿宋_GB2312" w:eastAsia="仿宋_GB2312" w:cs="仿宋_GB2312"/>
                <w:b w:val="0"/>
                <w:bCs w:val="0"/>
                <w:spacing w:val="-6"/>
                <w:sz w:val="28"/>
                <w:szCs w:val="28"/>
              </w:rPr>
              <w:t>退敏爆炸物</w:t>
            </w:r>
          </w:p>
        </w:tc>
        <w:tc>
          <w:tcPr>
            <w:tcW w:w="2808" w:type="dxa"/>
            <w:vAlign w:val="center"/>
          </w:tcPr>
          <w:p w14:paraId="1D2FC0A3">
            <w:pPr>
              <w:jc w:val="center"/>
              <w:rPr>
                <w:rFonts w:hint="eastAsia" w:ascii="仿宋_GB2312" w:hAnsi="仿宋_GB2312" w:eastAsia="仿宋_GB2312" w:cs="仿宋_GB2312"/>
                <w:b w:val="0"/>
                <w:bCs w:val="0"/>
                <w:sz w:val="28"/>
                <w:szCs w:val="28"/>
                <w:vertAlign w:val="baseline"/>
              </w:rPr>
            </w:pPr>
          </w:p>
        </w:tc>
        <w:tc>
          <w:tcPr>
            <w:tcW w:w="2432" w:type="dxa"/>
            <w:vAlign w:val="center"/>
          </w:tcPr>
          <w:p w14:paraId="7A097B66">
            <w:pPr>
              <w:jc w:val="center"/>
              <w:rPr>
                <w:rFonts w:hint="eastAsia" w:ascii="仿宋_GB2312" w:hAnsi="仿宋_GB2312" w:eastAsia="仿宋_GB2312" w:cs="仿宋_GB2312"/>
                <w:b w:val="0"/>
                <w:bCs w:val="0"/>
                <w:sz w:val="28"/>
                <w:szCs w:val="28"/>
                <w:vertAlign w:val="baseline"/>
              </w:rPr>
            </w:pPr>
          </w:p>
        </w:tc>
      </w:tr>
    </w:tbl>
    <w:p w14:paraId="6991D1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s="Times New Roman"/>
          <w:sz w:val="32"/>
          <w:szCs w:val="32"/>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康简标题宋">
    <w:panose1 w:val="02010609000101010101"/>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701"/>
    <w:rsid w:val="000540CD"/>
    <w:rsid w:val="000D1D96"/>
    <w:rsid w:val="00105CC3"/>
    <w:rsid w:val="00111509"/>
    <w:rsid w:val="0012651A"/>
    <w:rsid w:val="0013458E"/>
    <w:rsid w:val="001757C8"/>
    <w:rsid w:val="00180A80"/>
    <w:rsid w:val="00187879"/>
    <w:rsid w:val="001A45C4"/>
    <w:rsid w:val="001A46A3"/>
    <w:rsid w:val="001E3942"/>
    <w:rsid w:val="001F7E31"/>
    <w:rsid w:val="0021205C"/>
    <w:rsid w:val="00216929"/>
    <w:rsid w:val="00293F44"/>
    <w:rsid w:val="002F598A"/>
    <w:rsid w:val="00306600"/>
    <w:rsid w:val="00313644"/>
    <w:rsid w:val="00331602"/>
    <w:rsid w:val="00336909"/>
    <w:rsid w:val="003A4EB5"/>
    <w:rsid w:val="003B5E03"/>
    <w:rsid w:val="003C0297"/>
    <w:rsid w:val="003C199E"/>
    <w:rsid w:val="003F47A3"/>
    <w:rsid w:val="00431831"/>
    <w:rsid w:val="00444DEA"/>
    <w:rsid w:val="004765CD"/>
    <w:rsid w:val="00487435"/>
    <w:rsid w:val="004A7C70"/>
    <w:rsid w:val="004B54D3"/>
    <w:rsid w:val="004C602B"/>
    <w:rsid w:val="004D1935"/>
    <w:rsid w:val="004F62F7"/>
    <w:rsid w:val="00510FCE"/>
    <w:rsid w:val="0051190F"/>
    <w:rsid w:val="00512EFB"/>
    <w:rsid w:val="0053468D"/>
    <w:rsid w:val="00536824"/>
    <w:rsid w:val="005415C9"/>
    <w:rsid w:val="005A7834"/>
    <w:rsid w:val="005B0852"/>
    <w:rsid w:val="005B794A"/>
    <w:rsid w:val="005D113E"/>
    <w:rsid w:val="00614F1E"/>
    <w:rsid w:val="006328CB"/>
    <w:rsid w:val="00634A37"/>
    <w:rsid w:val="006B012F"/>
    <w:rsid w:val="006E0066"/>
    <w:rsid w:val="00732F05"/>
    <w:rsid w:val="007629B7"/>
    <w:rsid w:val="00770176"/>
    <w:rsid w:val="00785674"/>
    <w:rsid w:val="00790CED"/>
    <w:rsid w:val="007923DC"/>
    <w:rsid w:val="007D789B"/>
    <w:rsid w:val="007E4F2C"/>
    <w:rsid w:val="0082235D"/>
    <w:rsid w:val="0084771A"/>
    <w:rsid w:val="0087278E"/>
    <w:rsid w:val="00927061"/>
    <w:rsid w:val="00936C83"/>
    <w:rsid w:val="00940E94"/>
    <w:rsid w:val="009628C6"/>
    <w:rsid w:val="00963768"/>
    <w:rsid w:val="009B0C06"/>
    <w:rsid w:val="009B3D5F"/>
    <w:rsid w:val="009C29A0"/>
    <w:rsid w:val="009D5CE0"/>
    <w:rsid w:val="009E387D"/>
    <w:rsid w:val="00A21701"/>
    <w:rsid w:val="00A67CF7"/>
    <w:rsid w:val="00A840A3"/>
    <w:rsid w:val="00B04C35"/>
    <w:rsid w:val="00B60AD8"/>
    <w:rsid w:val="00B67615"/>
    <w:rsid w:val="00B82049"/>
    <w:rsid w:val="00BB5066"/>
    <w:rsid w:val="00BE6FF1"/>
    <w:rsid w:val="00C01B57"/>
    <w:rsid w:val="00C62E64"/>
    <w:rsid w:val="00C95258"/>
    <w:rsid w:val="00CA5FE3"/>
    <w:rsid w:val="00CD22BC"/>
    <w:rsid w:val="00D63453"/>
    <w:rsid w:val="00DC1661"/>
    <w:rsid w:val="00DC20FD"/>
    <w:rsid w:val="00DF680A"/>
    <w:rsid w:val="00E10284"/>
    <w:rsid w:val="00E475C5"/>
    <w:rsid w:val="00EA3191"/>
    <w:rsid w:val="00EA757B"/>
    <w:rsid w:val="00EB31D3"/>
    <w:rsid w:val="00EC50F1"/>
    <w:rsid w:val="00ED0338"/>
    <w:rsid w:val="00EE346A"/>
    <w:rsid w:val="00F60D1C"/>
    <w:rsid w:val="00F65CD3"/>
    <w:rsid w:val="00F70BFB"/>
    <w:rsid w:val="00FB066F"/>
    <w:rsid w:val="00FB7294"/>
    <w:rsid w:val="00FE0F94"/>
    <w:rsid w:val="00FE1321"/>
    <w:rsid w:val="0E3049E7"/>
    <w:rsid w:val="0FD504FF"/>
    <w:rsid w:val="11DF407D"/>
    <w:rsid w:val="12B8598E"/>
    <w:rsid w:val="140219E2"/>
    <w:rsid w:val="15602911"/>
    <w:rsid w:val="17A261F9"/>
    <w:rsid w:val="188B5777"/>
    <w:rsid w:val="1A482A01"/>
    <w:rsid w:val="1BB73608"/>
    <w:rsid w:val="1BD73F9E"/>
    <w:rsid w:val="1D5A068C"/>
    <w:rsid w:val="1F9BE0E5"/>
    <w:rsid w:val="237EA00B"/>
    <w:rsid w:val="23F59CA6"/>
    <w:rsid w:val="285F9D8B"/>
    <w:rsid w:val="29E86941"/>
    <w:rsid w:val="2AB05488"/>
    <w:rsid w:val="2BA472A4"/>
    <w:rsid w:val="2BE688D5"/>
    <w:rsid w:val="2EFB1A88"/>
    <w:rsid w:val="2F779438"/>
    <w:rsid w:val="32244977"/>
    <w:rsid w:val="32513D4B"/>
    <w:rsid w:val="32BC2D72"/>
    <w:rsid w:val="33FD9E0D"/>
    <w:rsid w:val="37743863"/>
    <w:rsid w:val="377A0523"/>
    <w:rsid w:val="37F7E381"/>
    <w:rsid w:val="38594B4C"/>
    <w:rsid w:val="39CFE89D"/>
    <w:rsid w:val="3C777F96"/>
    <w:rsid w:val="3D355702"/>
    <w:rsid w:val="3E5F20B5"/>
    <w:rsid w:val="3ECF71D9"/>
    <w:rsid w:val="3F172B55"/>
    <w:rsid w:val="3F5FD8EB"/>
    <w:rsid w:val="3FA43402"/>
    <w:rsid w:val="423C15B9"/>
    <w:rsid w:val="44F8106B"/>
    <w:rsid w:val="471F87EC"/>
    <w:rsid w:val="47B1162A"/>
    <w:rsid w:val="482C621F"/>
    <w:rsid w:val="4D7D3E5B"/>
    <w:rsid w:val="4DAF52AE"/>
    <w:rsid w:val="4EC25706"/>
    <w:rsid w:val="4F89710E"/>
    <w:rsid w:val="53FBA870"/>
    <w:rsid w:val="55571D1A"/>
    <w:rsid w:val="55721FC9"/>
    <w:rsid w:val="55FF1914"/>
    <w:rsid w:val="56FF3BDA"/>
    <w:rsid w:val="577EA969"/>
    <w:rsid w:val="58B94E68"/>
    <w:rsid w:val="592565C2"/>
    <w:rsid w:val="5BDE4838"/>
    <w:rsid w:val="5BF8B103"/>
    <w:rsid w:val="5BFF2DC5"/>
    <w:rsid w:val="5CBF7570"/>
    <w:rsid w:val="5CFF8A5F"/>
    <w:rsid w:val="5DDD812F"/>
    <w:rsid w:val="5DFD8FDE"/>
    <w:rsid w:val="5F3526D0"/>
    <w:rsid w:val="5F3BDC91"/>
    <w:rsid w:val="5FC199B8"/>
    <w:rsid w:val="5FDB3048"/>
    <w:rsid w:val="5FF52CF0"/>
    <w:rsid w:val="5FF72A93"/>
    <w:rsid w:val="5FFB2A6C"/>
    <w:rsid w:val="62FBE353"/>
    <w:rsid w:val="643775EB"/>
    <w:rsid w:val="66FFD0E2"/>
    <w:rsid w:val="67B63D96"/>
    <w:rsid w:val="67B79980"/>
    <w:rsid w:val="6BFD789D"/>
    <w:rsid w:val="6BFDB428"/>
    <w:rsid w:val="6D720273"/>
    <w:rsid w:val="6D7F63D2"/>
    <w:rsid w:val="6EBFC0F0"/>
    <w:rsid w:val="6ED2DAC4"/>
    <w:rsid w:val="6EDE35D0"/>
    <w:rsid w:val="6F7BD4AD"/>
    <w:rsid w:val="6FDF3DAA"/>
    <w:rsid w:val="6FFFB757"/>
    <w:rsid w:val="717EF738"/>
    <w:rsid w:val="73DFD833"/>
    <w:rsid w:val="745BFC78"/>
    <w:rsid w:val="74964632"/>
    <w:rsid w:val="749E4DE3"/>
    <w:rsid w:val="75EF8B4A"/>
    <w:rsid w:val="76CAF769"/>
    <w:rsid w:val="775F1F0C"/>
    <w:rsid w:val="77BB2178"/>
    <w:rsid w:val="77BDDBD7"/>
    <w:rsid w:val="77EFE8F6"/>
    <w:rsid w:val="77FBA0D8"/>
    <w:rsid w:val="77FF7259"/>
    <w:rsid w:val="7AFA3A0F"/>
    <w:rsid w:val="7B1FE436"/>
    <w:rsid w:val="7B8EC889"/>
    <w:rsid w:val="7BEE88BA"/>
    <w:rsid w:val="7BEF9E41"/>
    <w:rsid w:val="7BF9E79E"/>
    <w:rsid w:val="7BFB438A"/>
    <w:rsid w:val="7BFE29EC"/>
    <w:rsid w:val="7CFFDC3C"/>
    <w:rsid w:val="7D7761A0"/>
    <w:rsid w:val="7D9FDBE5"/>
    <w:rsid w:val="7DBE258F"/>
    <w:rsid w:val="7DBFCC0A"/>
    <w:rsid w:val="7E285D17"/>
    <w:rsid w:val="7E7CDA3D"/>
    <w:rsid w:val="7EBF5F0D"/>
    <w:rsid w:val="7EF3A415"/>
    <w:rsid w:val="7EF9CD54"/>
    <w:rsid w:val="7EFE1690"/>
    <w:rsid w:val="7EFF428C"/>
    <w:rsid w:val="7F6EF64E"/>
    <w:rsid w:val="7F7FDF6E"/>
    <w:rsid w:val="7F97315A"/>
    <w:rsid w:val="7FF3B7B0"/>
    <w:rsid w:val="7FF85F12"/>
    <w:rsid w:val="7FFF78E1"/>
    <w:rsid w:val="7FFFC8D7"/>
    <w:rsid w:val="85BD29BA"/>
    <w:rsid w:val="8D8B9AC9"/>
    <w:rsid w:val="8F9E9C17"/>
    <w:rsid w:val="917FF50C"/>
    <w:rsid w:val="9BFF4B2E"/>
    <w:rsid w:val="9F6F33EA"/>
    <w:rsid w:val="9FEAC8DE"/>
    <w:rsid w:val="ACFBF271"/>
    <w:rsid w:val="ACFF721B"/>
    <w:rsid w:val="AE2F8AAC"/>
    <w:rsid w:val="AFFECB7B"/>
    <w:rsid w:val="B5FF054C"/>
    <w:rsid w:val="B7FFAACD"/>
    <w:rsid w:val="BB72337E"/>
    <w:rsid w:val="BB9FA924"/>
    <w:rsid w:val="BE3D6892"/>
    <w:rsid w:val="BE6F333D"/>
    <w:rsid w:val="BE758E84"/>
    <w:rsid w:val="BFCDDDB5"/>
    <w:rsid w:val="BFF0B5E9"/>
    <w:rsid w:val="BFFF1FB1"/>
    <w:rsid w:val="BFFF7CA9"/>
    <w:rsid w:val="C5DE2100"/>
    <w:rsid w:val="C6BB234C"/>
    <w:rsid w:val="C6FF9D01"/>
    <w:rsid w:val="C76F1C4D"/>
    <w:rsid w:val="CD2F261F"/>
    <w:rsid w:val="CEA7806C"/>
    <w:rsid w:val="CFAF8EBC"/>
    <w:rsid w:val="CFFFC98F"/>
    <w:rsid w:val="D13725BF"/>
    <w:rsid w:val="D76F6E27"/>
    <w:rsid w:val="D7F9A848"/>
    <w:rsid w:val="D9DF24E0"/>
    <w:rsid w:val="DB1784F4"/>
    <w:rsid w:val="DB54DE78"/>
    <w:rsid w:val="DBFB4655"/>
    <w:rsid w:val="DCFEEE9C"/>
    <w:rsid w:val="DFDB39B7"/>
    <w:rsid w:val="DFDF305C"/>
    <w:rsid w:val="DFFED965"/>
    <w:rsid w:val="E4FF1A0E"/>
    <w:rsid w:val="E65FC285"/>
    <w:rsid w:val="E77C8879"/>
    <w:rsid w:val="E7EF2601"/>
    <w:rsid w:val="ED5D9402"/>
    <w:rsid w:val="EEF720C0"/>
    <w:rsid w:val="EEFFD8FF"/>
    <w:rsid w:val="EF8F9790"/>
    <w:rsid w:val="EFDE148B"/>
    <w:rsid w:val="EFFFA85F"/>
    <w:rsid w:val="F377B690"/>
    <w:rsid w:val="F3AD784D"/>
    <w:rsid w:val="F3CDF287"/>
    <w:rsid w:val="F3F1F1C7"/>
    <w:rsid w:val="F5BF57D0"/>
    <w:rsid w:val="F6D12BE4"/>
    <w:rsid w:val="F6D4C339"/>
    <w:rsid w:val="F76F6941"/>
    <w:rsid w:val="F7EDAF53"/>
    <w:rsid w:val="F7FF9F56"/>
    <w:rsid w:val="F9B3575B"/>
    <w:rsid w:val="F9E9ADC0"/>
    <w:rsid w:val="F9EFA36D"/>
    <w:rsid w:val="FAB7E7A1"/>
    <w:rsid w:val="FAF9B81E"/>
    <w:rsid w:val="FBB726B4"/>
    <w:rsid w:val="FBF02E66"/>
    <w:rsid w:val="FBF49F49"/>
    <w:rsid w:val="FBF95937"/>
    <w:rsid w:val="FBFB211B"/>
    <w:rsid w:val="FC7B2BB9"/>
    <w:rsid w:val="FCBFBFBD"/>
    <w:rsid w:val="FCFE4928"/>
    <w:rsid w:val="FD37A5C6"/>
    <w:rsid w:val="FD7E6618"/>
    <w:rsid w:val="FDDF3EFC"/>
    <w:rsid w:val="FE7AC050"/>
    <w:rsid w:val="FE7B48D2"/>
    <w:rsid w:val="FEBF99F4"/>
    <w:rsid w:val="FF4C7415"/>
    <w:rsid w:val="FF7F868C"/>
    <w:rsid w:val="FF7FDB81"/>
    <w:rsid w:val="FFCE8BEE"/>
    <w:rsid w:val="FFDD472A"/>
    <w:rsid w:val="FFDDCA08"/>
    <w:rsid w:val="FFF01405"/>
    <w:rsid w:val="FFF4583B"/>
    <w:rsid w:val="FFFC8874"/>
    <w:rsid w:val="FFFE2724"/>
    <w:rsid w:val="FFFF4119"/>
    <w:rsid w:val="FFFF957C"/>
    <w:rsid w:val="FFFF9D9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character" w:default="1" w:styleId="9">
    <w:name w:val="Default Paragraph Font"/>
    <w:semiHidden/>
    <w:qFormat/>
    <w:uiPriority w:val="99"/>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4"/>
    <w:semiHidden/>
    <w:qFormat/>
    <w:uiPriority w:val="99"/>
    <w:rPr>
      <w:rFonts w:ascii="Calibri" w:hAnsi="Calibri" w:cs="Calibri"/>
      <w:sz w:val="18"/>
      <w:szCs w:val="18"/>
    </w:rPr>
  </w:style>
  <w:style w:type="paragraph" w:styleId="4">
    <w:name w:val="footer"/>
    <w:basedOn w:val="1"/>
    <w:link w:val="16"/>
    <w:semiHidden/>
    <w:qFormat/>
    <w:uiPriority w:val="99"/>
    <w:pPr>
      <w:tabs>
        <w:tab w:val="center" w:pos="4153"/>
        <w:tab w:val="right" w:pos="8306"/>
      </w:tabs>
      <w:snapToGrid w:val="0"/>
      <w:jc w:val="left"/>
    </w:pPr>
    <w:rPr>
      <w:sz w:val="18"/>
      <w:szCs w:val="18"/>
    </w:rPr>
  </w:style>
  <w:style w:type="paragraph" w:styleId="5">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
    <w:qFormat/>
    <w:uiPriority w:val="99"/>
    <w:pPr>
      <w:ind w:firstLine="420" w:firstLineChars="200"/>
    </w:pPr>
  </w:style>
  <w:style w:type="paragraph" w:customStyle="1" w:styleId="11">
    <w:name w:val="List Paragraph"/>
    <w:basedOn w:val="1"/>
    <w:qFormat/>
    <w:uiPriority w:val="99"/>
    <w:pPr>
      <w:ind w:firstLine="420" w:firstLineChars="200"/>
    </w:pPr>
  </w:style>
  <w:style w:type="paragraph" w:customStyle="1" w:styleId="12">
    <w:name w:val="Char Char Char Char Char Char Char Char Char Char"/>
    <w:basedOn w:val="1"/>
    <w:qFormat/>
    <w:uiPriority w:val="99"/>
    <w:pPr>
      <w:widowControl/>
      <w:spacing w:after="160" w:line="240" w:lineRule="exact"/>
      <w:jc w:val="left"/>
    </w:pPr>
  </w:style>
  <w:style w:type="character" w:customStyle="1" w:styleId="13">
    <w:name w:val="Heading 1 Char"/>
    <w:basedOn w:val="9"/>
    <w:link w:val="2"/>
    <w:qFormat/>
    <w:locked/>
    <w:uiPriority w:val="99"/>
    <w:rPr>
      <w:rFonts w:ascii="Times New Roman" w:hAnsi="Times New Roman" w:eastAsia="宋体" w:cs="Times New Roman"/>
      <w:b/>
      <w:bCs/>
      <w:kern w:val="44"/>
      <w:sz w:val="44"/>
      <w:szCs w:val="44"/>
    </w:rPr>
  </w:style>
  <w:style w:type="character" w:customStyle="1" w:styleId="14">
    <w:name w:val="Balloon Text Char"/>
    <w:basedOn w:val="9"/>
    <w:link w:val="3"/>
    <w:semiHidden/>
    <w:qFormat/>
    <w:locked/>
    <w:uiPriority w:val="99"/>
    <w:rPr>
      <w:sz w:val="18"/>
      <w:szCs w:val="18"/>
    </w:rPr>
  </w:style>
  <w:style w:type="character" w:customStyle="1" w:styleId="15">
    <w:name w:val="Header Char"/>
    <w:basedOn w:val="9"/>
    <w:link w:val="5"/>
    <w:semiHidden/>
    <w:qFormat/>
    <w:locked/>
    <w:uiPriority w:val="99"/>
    <w:rPr>
      <w:rFonts w:ascii="Times New Roman" w:hAnsi="Times New Roman" w:eastAsia="宋体" w:cs="Times New Roman"/>
      <w:sz w:val="18"/>
      <w:szCs w:val="18"/>
    </w:rPr>
  </w:style>
  <w:style w:type="character" w:customStyle="1" w:styleId="16">
    <w:name w:val="Footer Char"/>
    <w:basedOn w:val="9"/>
    <w:link w:val="4"/>
    <w:semiHidden/>
    <w:qFormat/>
    <w:locked/>
    <w:uiPriority w:val="99"/>
    <w:rPr>
      <w:rFonts w:ascii="Times New Roman" w:hAnsi="Times New Roman" w:eastAsia="宋体" w:cs="Times New Roman"/>
      <w:sz w:val="18"/>
      <w:szCs w:val="18"/>
    </w:rPr>
  </w:style>
  <w:style w:type="paragraph" w:customStyle="1" w:styleId="17">
    <w:name w:val="Table Text"/>
    <w:basedOn w:val="1"/>
    <w:semiHidden/>
    <w:qFormat/>
    <w:uiPriority w:val="0"/>
    <w:rPr>
      <w:rFonts w:ascii="宋体" w:hAnsi="宋体" w:eastAsia="宋体" w:cs="宋体"/>
      <w:sz w:val="30"/>
      <w:szCs w:val="3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8</Pages>
  <Words>524</Words>
  <Characters>2987</Characters>
  <Lines>0</Lines>
  <Paragraphs>0</Paragraphs>
  <TotalTime>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2019-06-03T03:16:00Z</dcterms:created>
  <dc:creator>Administrator</dc:creator>
  <cp:lastModifiedBy>uos</cp:lastModifiedBy>
  <cp:lastPrinted>2026-06-23T09:42:06Z</cp:lastPrinted>
  <dcterms:modified xsi:type="dcterms:W3CDTF">2026-06-23T09:42:07Z</dcterms:modified>
  <dc:title>东莞市2020年化工医药及危险化学品行业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ribbonExt">
    <vt:lpwstr>{"WPSExtOfficeTab":{"OnGetEnabled":false,"OnGetVisible":false}}</vt:lpwstr>
  </property>
  <property fmtid="{D5CDD505-2E9C-101B-9397-08002B2CF9AE}" pid="4" name="ICV">
    <vt:lpwstr>B063298E6FAEB1A76B0CCE69A6646871_42</vt:lpwstr>
  </property>
</Properties>
</file>