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beforeLines="0" w:afterLines="0" w:line="600" w:lineRule="exact"/>
        <w:jc w:val="center"/>
        <w:textAlignment w:val="auto"/>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东莞市应急管理局安全生产工作</w:t>
      </w:r>
    </w:p>
    <w:p>
      <w:pPr>
        <w:keepNext w:val="0"/>
        <w:keepLines w:val="0"/>
        <w:pageBreakBefore w:val="0"/>
        <w:widowControl w:val="0"/>
        <w:kinsoku/>
        <w:wordWrap/>
        <w:overflowPunct w:val="0"/>
        <w:topLinePunct w:val="0"/>
        <w:autoSpaceDE/>
        <w:autoSpaceDN/>
        <w:bidi w:val="0"/>
        <w:adjustRightInd/>
        <w:snapToGrid/>
        <w:spacing w:beforeLines="0" w:afterLines="0" w:line="600" w:lineRule="exact"/>
        <w:jc w:val="center"/>
        <w:textAlignment w:val="auto"/>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先进事迹</w:t>
      </w: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firstLine="640" w:firstLineChars="200"/>
        <w:contextualSpacing/>
        <w:jc w:val="both"/>
        <w:textAlignment w:val="auto"/>
        <w:rPr>
          <w:rFonts w:hint="default" w:ascii="Times New Roman" w:hAnsi="Times New Roman" w:eastAsia="仿宋"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firstLine="640" w:firstLineChars="200"/>
        <w:contextualSpacing/>
        <w:jc w:val="both"/>
        <w:textAlignment w:val="auto"/>
        <w:rPr>
          <w:rFonts w:hint="eastAsia" w:ascii="黑体" w:hAnsi="黑体" w:eastAsia="黑体" w:cs="黑体"/>
          <w:b w:val="0"/>
          <w:bCs w:val="0"/>
          <w:color w:val="auto"/>
          <w:sz w:val="32"/>
          <w:szCs w:val="32"/>
          <w:highlight w:val="none"/>
          <w:lang w:val="en-US" w:eastAsia="zh-CN"/>
        </w:rPr>
      </w:pPr>
      <w:r>
        <w:rPr>
          <w:rFonts w:hint="default" w:ascii="Times New Roman" w:hAnsi="Times New Roman" w:eastAsia="仿宋" w:cs="Times New Roman"/>
          <w:bCs/>
          <w:color w:val="auto"/>
          <w:sz w:val="32"/>
          <w:szCs w:val="32"/>
        </w:rPr>
        <w:t>近年来，</w:t>
      </w:r>
      <w:r>
        <w:rPr>
          <w:rFonts w:hint="eastAsia" w:eastAsia="仿宋" w:cs="Times New Roman"/>
          <w:bCs/>
          <w:color w:val="auto"/>
          <w:sz w:val="32"/>
          <w:szCs w:val="32"/>
          <w:lang w:eastAsia="zh-CN"/>
        </w:rPr>
        <w:t>东莞</w:t>
      </w:r>
      <w:r>
        <w:rPr>
          <w:rFonts w:hint="default" w:ascii="Times New Roman" w:hAnsi="Times New Roman" w:eastAsia="仿宋" w:cs="Times New Roman"/>
          <w:bCs/>
          <w:color w:val="auto"/>
          <w:sz w:val="32"/>
          <w:szCs w:val="32"/>
        </w:rPr>
        <w:t>市</w:t>
      </w:r>
      <w:r>
        <w:rPr>
          <w:rFonts w:hint="eastAsia" w:eastAsia="仿宋" w:cs="Times New Roman"/>
          <w:bCs/>
          <w:color w:val="auto"/>
          <w:sz w:val="32"/>
          <w:szCs w:val="32"/>
          <w:lang w:eastAsia="zh-CN"/>
        </w:rPr>
        <w:t>应急管理局</w:t>
      </w:r>
      <w:r>
        <w:rPr>
          <w:rFonts w:hint="default" w:ascii="Times New Roman" w:hAnsi="Times New Roman" w:eastAsia="仿宋" w:cs="Times New Roman"/>
          <w:bCs/>
          <w:color w:val="auto"/>
          <w:sz w:val="32"/>
          <w:szCs w:val="32"/>
        </w:rPr>
        <w:t>始终</w:t>
      </w:r>
      <w:r>
        <w:rPr>
          <w:rFonts w:hint="eastAsia" w:ascii="仿宋_GB2312" w:hAnsi="仿宋_GB2312" w:eastAsia="仿宋" w:cs="仿宋_GB2312"/>
          <w:bCs/>
          <w:color w:val="auto"/>
          <w:sz w:val="32"/>
          <w:szCs w:val="32"/>
        </w:rPr>
        <w:t>坚持“安全第一、预防为主”，</w:t>
      </w:r>
      <w:r>
        <w:rPr>
          <w:rFonts w:hint="eastAsia" w:eastAsia="仿宋" w:cs="Times New Roman"/>
          <w:bCs/>
          <w:color w:val="auto"/>
          <w:sz w:val="32"/>
          <w:szCs w:val="32"/>
          <w:lang w:eastAsia="zh-CN"/>
        </w:rPr>
        <w:t>统筹</w:t>
      </w:r>
      <w:r>
        <w:rPr>
          <w:rFonts w:hint="default" w:ascii="Times New Roman" w:hAnsi="Times New Roman" w:eastAsia="仿宋" w:cs="Times New Roman"/>
          <w:bCs/>
          <w:color w:val="auto"/>
          <w:sz w:val="32"/>
          <w:szCs w:val="32"/>
        </w:rPr>
        <w:t>推进</w:t>
      </w:r>
      <w:r>
        <w:rPr>
          <w:rFonts w:hint="default" w:ascii="Times New Roman" w:hAnsi="Times New Roman" w:eastAsia="仿宋" w:cs="Times New Roman"/>
          <w:bCs/>
          <w:color w:val="auto"/>
          <w:sz w:val="32"/>
          <w:szCs w:val="32"/>
          <w:lang w:val="en-US" w:eastAsia="zh-CN"/>
        </w:rPr>
        <w:t>安全生产治本攻坚三年行动</w:t>
      </w:r>
      <w:r>
        <w:rPr>
          <w:rFonts w:hint="default" w:ascii="Times New Roman" w:hAnsi="Times New Roman" w:eastAsia="仿宋" w:cs="Times New Roman"/>
          <w:bCs/>
          <w:color w:val="auto"/>
          <w:sz w:val="32"/>
          <w:szCs w:val="32"/>
        </w:rPr>
        <w:t>，</w:t>
      </w:r>
      <w:r>
        <w:rPr>
          <w:rFonts w:hint="eastAsia" w:eastAsia="仿宋" w:cs="Times New Roman"/>
          <w:bCs/>
          <w:strike w:val="0"/>
          <w:dstrike w:val="0"/>
          <w:color w:val="auto"/>
          <w:sz w:val="32"/>
          <w:szCs w:val="32"/>
          <w:lang w:eastAsia="zh-CN"/>
        </w:rPr>
        <w:t>协调督促</w:t>
      </w:r>
      <w:r>
        <w:rPr>
          <w:rFonts w:hint="default" w:ascii="Times New Roman" w:hAnsi="Times New Roman" w:eastAsia="仿宋" w:cs="Times New Roman"/>
          <w:bCs/>
          <w:color w:val="auto"/>
          <w:sz w:val="32"/>
          <w:szCs w:val="32"/>
        </w:rPr>
        <w:t>重点行业、重点领域</w:t>
      </w:r>
      <w:r>
        <w:rPr>
          <w:rFonts w:hint="eastAsia" w:eastAsia="仿宋" w:cs="Times New Roman"/>
          <w:bCs/>
          <w:color w:val="auto"/>
          <w:sz w:val="32"/>
          <w:szCs w:val="32"/>
          <w:lang w:eastAsia="zh-CN"/>
        </w:rPr>
        <w:t>加强</w:t>
      </w:r>
      <w:r>
        <w:rPr>
          <w:rFonts w:hint="default" w:ascii="Times New Roman" w:hAnsi="Times New Roman" w:eastAsia="仿宋" w:cs="Times New Roman"/>
          <w:bCs/>
          <w:color w:val="auto"/>
          <w:sz w:val="32"/>
          <w:szCs w:val="32"/>
        </w:rPr>
        <w:t>安全监管，</w:t>
      </w:r>
      <w:r>
        <w:rPr>
          <w:rFonts w:hint="default" w:ascii="Times New Roman" w:hAnsi="Times New Roman" w:eastAsia="仿宋" w:cs="Times New Roman"/>
          <w:b w:val="0"/>
          <w:bCs w:val="0"/>
          <w:color w:val="auto"/>
          <w:sz w:val="32"/>
          <w:szCs w:val="32"/>
          <w:highlight w:val="none"/>
          <w:lang w:eastAsia="zh-CN"/>
        </w:rPr>
        <w:t>不断提升本质安全水平，</w:t>
      </w:r>
      <w:r>
        <w:rPr>
          <w:rFonts w:hint="eastAsia" w:eastAsia="仿宋" w:cs="Times New Roman"/>
          <w:b w:val="0"/>
          <w:bCs w:val="0"/>
          <w:color w:val="auto"/>
          <w:sz w:val="32"/>
          <w:szCs w:val="32"/>
          <w:highlight w:val="none"/>
          <w:lang w:val="en-US" w:eastAsia="zh-CN"/>
        </w:rPr>
        <w:t>有力推动全市生产安全事故起数和死亡人数持续实现“双下降”。</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right="0" w:rightChars="0" w:firstLine="640" w:firstLineChars="200"/>
        <w:contextualSpacing/>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一、进一步健全安全生产责任机制</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right="0" w:rightChars="0" w:firstLine="642" w:firstLineChars="200"/>
        <w:contextualSpacing/>
        <w:jc w:val="both"/>
        <w:textAlignment w:val="auto"/>
        <w:rPr>
          <w:rFonts w:hint="eastAsia" w:ascii="Times New Roman" w:hAnsi="Times New Roman" w:eastAsia="仿宋" w:cs="Times New Roman"/>
          <w:b w:val="0"/>
          <w:bCs w:val="0"/>
          <w:color w:val="auto"/>
          <w:kern w:val="0"/>
          <w:sz w:val="32"/>
          <w:szCs w:val="32"/>
          <w:lang w:val="en-US" w:eastAsia="zh-CN"/>
        </w:rPr>
      </w:pPr>
      <w:r>
        <w:rPr>
          <w:rFonts w:hint="eastAsia" w:ascii="楷体" w:hAnsi="楷体" w:eastAsia="楷体" w:cs="楷体"/>
          <w:b/>
          <w:bCs/>
          <w:color w:val="auto"/>
          <w:sz w:val="32"/>
          <w:szCs w:val="32"/>
          <w:highlight w:val="none"/>
          <w:lang w:val="en-US" w:eastAsia="zh-CN"/>
        </w:rPr>
        <w:t>一是坚持高位统筹部署。</w:t>
      </w:r>
      <w:r>
        <w:rPr>
          <w:rFonts w:hint="eastAsia" w:ascii="Times New Roman" w:hAnsi="Times New Roman" w:eastAsia="仿宋" w:cs="Times New Roman"/>
          <w:color w:val="auto"/>
          <w:sz w:val="32"/>
          <w:szCs w:val="32"/>
          <w:lang w:val="en-US" w:eastAsia="zh-CN"/>
        </w:rPr>
        <w:t>提请</w:t>
      </w:r>
      <w:r>
        <w:rPr>
          <w:rFonts w:hint="eastAsia" w:ascii="Times New Roman" w:hAnsi="Times New Roman" w:eastAsia="仿宋" w:cs="Times New Roman"/>
          <w:color w:val="auto"/>
          <w:sz w:val="32"/>
          <w:szCs w:val="32"/>
          <w:lang w:val="en-US" w:eastAsia="zh-CN"/>
        </w:rPr>
        <w:t>市委</w:t>
      </w:r>
      <w:r>
        <w:rPr>
          <w:rFonts w:hint="eastAsia" w:ascii="Times New Roman" w:hAnsi="Times New Roman" w:eastAsia="仿宋" w:cs="Times New Roman"/>
          <w:sz w:val="32"/>
          <w:szCs w:val="32"/>
          <w:lang w:val="en-US" w:eastAsia="zh-CN"/>
        </w:rPr>
        <w:t>、市政府研究建立了</w:t>
      </w:r>
      <w:r>
        <w:rPr>
          <w:rFonts w:hint="eastAsia" w:ascii="Times New Roman" w:hAnsi="Times New Roman" w:eastAsia="仿宋" w:cs="Times New Roman"/>
          <w:sz w:val="32"/>
          <w:szCs w:val="32"/>
          <w:highlight w:val="none"/>
          <w:lang w:val="en-US" w:eastAsia="zh-CN"/>
        </w:rPr>
        <w:t>定期听取安全防范工作情况汇报机制，由市委书记、市长主持和听取汇报，明确由各副市长按照“三管</w:t>
      </w:r>
      <w:bookmarkStart w:id="0" w:name="_GoBack"/>
      <w:bookmarkEnd w:id="0"/>
      <w:r>
        <w:rPr>
          <w:rFonts w:hint="eastAsia" w:ascii="Times New Roman" w:hAnsi="Times New Roman" w:eastAsia="仿宋" w:cs="Times New Roman"/>
          <w:sz w:val="32"/>
          <w:szCs w:val="32"/>
          <w:highlight w:val="none"/>
          <w:lang w:val="en-US" w:eastAsia="zh-CN"/>
        </w:rPr>
        <w:t>三必须”要求，轮流汇报分管领域抓安全生产、安全发展的工作情况。</w:t>
      </w:r>
      <w:r>
        <w:rPr>
          <w:rFonts w:hint="default" w:ascii="Times New Roman" w:hAnsi="Times New Roman" w:eastAsia="仿宋" w:cs="Times New Roman"/>
          <w:b w:val="0"/>
          <w:bCs w:val="0"/>
          <w:color w:val="auto"/>
          <w:kern w:val="0"/>
          <w:sz w:val="32"/>
          <w:szCs w:val="32"/>
          <w:lang w:val="en-US" w:eastAsia="zh-CN"/>
        </w:rPr>
        <w:t>2025年</w:t>
      </w:r>
      <w:r>
        <w:rPr>
          <w:rFonts w:hint="eastAsia" w:ascii="Times New Roman" w:hAnsi="Times New Roman" w:eastAsia="仿宋" w:cs="Times New Roman"/>
          <w:b w:val="0"/>
          <w:bCs w:val="0"/>
          <w:color w:val="auto"/>
          <w:kern w:val="0"/>
          <w:sz w:val="32"/>
          <w:szCs w:val="32"/>
          <w:lang w:val="en-US" w:eastAsia="zh-CN"/>
        </w:rPr>
        <w:t>以来</w:t>
      </w:r>
      <w:r>
        <w:rPr>
          <w:rFonts w:hint="default" w:ascii="Times New Roman" w:hAnsi="Times New Roman" w:eastAsia="仿宋" w:cs="Times New Roman"/>
          <w:b w:val="0"/>
          <w:bCs w:val="0"/>
          <w:color w:val="auto"/>
          <w:kern w:val="0"/>
          <w:sz w:val="32"/>
          <w:szCs w:val="32"/>
          <w:lang w:val="en-US" w:eastAsia="zh-CN"/>
        </w:rPr>
        <w:t>，</w:t>
      </w:r>
      <w:r>
        <w:rPr>
          <w:rFonts w:hint="eastAsia" w:eastAsia="仿宋" w:cs="Times New Roman"/>
          <w:b w:val="0"/>
          <w:bCs w:val="0"/>
          <w:color w:val="auto"/>
          <w:kern w:val="0"/>
          <w:sz w:val="32"/>
          <w:szCs w:val="32"/>
          <w:lang w:val="en-US" w:eastAsia="zh-CN"/>
        </w:rPr>
        <w:t>全</w:t>
      </w:r>
      <w:r>
        <w:rPr>
          <w:rFonts w:hint="default" w:ascii="Times New Roman" w:hAnsi="Times New Roman" w:eastAsia="仿宋" w:cs="Times New Roman"/>
          <w:b w:val="0"/>
          <w:bCs w:val="0"/>
          <w:color w:val="auto"/>
          <w:kern w:val="0"/>
          <w:sz w:val="32"/>
          <w:szCs w:val="32"/>
          <w:lang w:val="en-US" w:eastAsia="zh-CN"/>
        </w:rPr>
        <w:t>市</w:t>
      </w:r>
      <w:r>
        <w:rPr>
          <w:rFonts w:hint="eastAsia" w:ascii="Times New Roman" w:hAnsi="Times New Roman" w:eastAsia="仿宋" w:cs="Times New Roman"/>
          <w:b w:val="0"/>
          <w:bCs w:val="0"/>
          <w:color w:val="auto"/>
          <w:kern w:val="0"/>
          <w:sz w:val="32"/>
          <w:szCs w:val="32"/>
          <w:lang w:val="en-US" w:eastAsia="zh-CN"/>
        </w:rPr>
        <w:t>已</w:t>
      </w:r>
      <w:r>
        <w:rPr>
          <w:rFonts w:hint="default" w:ascii="Times New Roman" w:hAnsi="Times New Roman" w:eastAsia="仿宋" w:cs="Times New Roman"/>
          <w:b w:val="0"/>
          <w:bCs w:val="0"/>
          <w:color w:val="auto"/>
          <w:kern w:val="0"/>
          <w:sz w:val="32"/>
          <w:szCs w:val="32"/>
          <w:lang w:val="en-US" w:eastAsia="zh-CN"/>
        </w:rPr>
        <w:t>召开</w:t>
      </w:r>
      <w:r>
        <w:rPr>
          <w:rFonts w:hint="eastAsia" w:eastAsia="仿宋" w:cs="Times New Roman"/>
          <w:b w:val="0"/>
          <w:bCs w:val="0"/>
          <w:color w:val="auto"/>
          <w:kern w:val="0"/>
          <w:sz w:val="32"/>
          <w:szCs w:val="32"/>
          <w:lang w:val="en-US" w:eastAsia="zh-CN"/>
        </w:rPr>
        <w:t>7</w:t>
      </w:r>
      <w:r>
        <w:rPr>
          <w:rFonts w:hint="default" w:ascii="Times New Roman" w:hAnsi="Times New Roman" w:eastAsia="仿宋" w:cs="Times New Roman"/>
          <w:b w:val="0"/>
          <w:bCs w:val="0"/>
          <w:color w:val="auto"/>
          <w:kern w:val="0"/>
          <w:sz w:val="32"/>
          <w:szCs w:val="32"/>
          <w:lang w:val="en-US" w:eastAsia="zh-CN"/>
        </w:rPr>
        <w:t>次市委常委会会议、</w:t>
      </w:r>
      <w:r>
        <w:rPr>
          <w:rFonts w:hint="eastAsia" w:eastAsia="仿宋" w:cs="Times New Roman"/>
          <w:b w:val="0"/>
          <w:bCs w:val="0"/>
          <w:color w:val="auto"/>
          <w:kern w:val="0"/>
          <w:sz w:val="32"/>
          <w:szCs w:val="32"/>
          <w:lang w:val="en-US" w:eastAsia="zh-CN"/>
        </w:rPr>
        <w:t>10</w:t>
      </w:r>
      <w:r>
        <w:rPr>
          <w:rFonts w:hint="default" w:ascii="Times New Roman" w:hAnsi="Times New Roman" w:eastAsia="仿宋" w:cs="Times New Roman"/>
          <w:b w:val="0"/>
          <w:bCs w:val="0"/>
          <w:color w:val="auto"/>
          <w:kern w:val="0"/>
          <w:sz w:val="32"/>
          <w:szCs w:val="32"/>
          <w:lang w:val="en-US" w:eastAsia="zh-CN"/>
        </w:rPr>
        <w:t>次市政府常务会议专题研究部署安全</w:t>
      </w:r>
      <w:r>
        <w:rPr>
          <w:rFonts w:hint="eastAsia" w:ascii="Times New Roman" w:hAnsi="Times New Roman" w:eastAsia="仿宋" w:cs="Times New Roman"/>
          <w:b w:val="0"/>
          <w:bCs w:val="0"/>
          <w:color w:val="auto"/>
          <w:kern w:val="0"/>
          <w:sz w:val="32"/>
          <w:szCs w:val="32"/>
          <w:lang w:val="en-US" w:eastAsia="zh-CN"/>
        </w:rPr>
        <w:t>防范</w:t>
      </w:r>
      <w:r>
        <w:rPr>
          <w:rFonts w:hint="default" w:ascii="Times New Roman" w:hAnsi="Times New Roman" w:eastAsia="仿宋" w:cs="Times New Roman"/>
          <w:b w:val="0"/>
          <w:bCs w:val="0"/>
          <w:color w:val="auto"/>
          <w:kern w:val="0"/>
          <w:sz w:val="32"/>
          <w:szCs w:val="32"/>
          <w:lang w:val="en-US" w:eastAsia="zh-CN"/>
        </w:rPr>
        <w:t>工作</w:t>
      </w:r>
      <w:r>
        <w:rPr>
          <w:rFonts w:hint="eastAsia" w:ascii="Times New Roman" w:hAnsi="Times New Roman" w:eastAsia="仿宋" w:cs="Times New Roman"/>
          <w:b w:val="0"/>
          <w:bCs w:val="0"/>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right="0" w:rightChars="0" w:firstLine="642" w:firstLineChars="200"/>
        <w:contextualSpacing/>
        <w:jc w:val="both"/>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二</w:t>
      </w:r>
      <w:r>
        <w:rPr>
          <w:rFonts w:hint="default" w:ascii="楷体" w:hAnsi="楷体" w:eastAsia="楷体" w:cs="楷体"/>
          <w:b/>
          <w:bCs/>
          <w:color w:val="auto"/>
          <w:sz w:val="32"/>
          <w:szCs w:val="32"/>
          <w:highlight w:val="none"/>
          <w:lang w:val="en-US" w:eastAsia="zh-CN"/>
        </w:rPr>
        <w:t>是建立片区统筹工作机制。</w:t>
      </w:r>
      <w:r>
        <w:rPr>
          <w:rFonts w:hint="default" w:ascii="Times New Roman" w:hAnsi="Times New Roman" w:eastAsia="仿宋" w:cs="Times New Roman"/>
          <w:b w:val="0"/>
          <w:bCs w:val="0"/>
          <w:color w:val="auto"/>
          <w:kern w:val="2"/>
          <w:sz w:val="32"/>
          <w:szCs w:val="32"/>
          <w:lang w:val="en-US" w:eastAsia="zh-CN"/>
        </w:rPr>
        <w:t>设立6个片区下沉分队，</w:t>
      </w:r>
      <w:r>
        <w:rPr>
          <w:rFonts w:hint="eastAsia" w:ascii="Times New Roman" w:hAnsi="Times New Roman" w:eastAsia="仿宋" w:cs="Times New Roman"/>
          <w:b w:val="0"/>
          <w:bCs w:val="0"/>
          <w:color w:val="000000"/>
          <w:kern w:val="0"/>
          <w:sz w:val="32"/>
          <w:szCs w:val="32"/>
          <w:lang w:val="en-US" w:eastAsia="zh-CN" w:bidi="ar-SA"/>
        </w:rPr>
        <w:t>由市安委办副主任分别带队，组织人员力量深入一线开展片区下沉和明查暗访</w:t>
      </w:r>
      <w:r>
        <w:rPr>
          <w:rFonts w:hint="eastAsia" w:eastAsia="仿宋" w:cs="Times New Roman"/>
          <w:b w:val="0"/>
          <w:bCs w:val="0"/>
          <w:color w:val="000000"/>
          <w:kern w:val="0"/>
          <w:sz w:val="32"/>
          <w:szCs w:val="32"/>
          <w:lang w:val="en-US" w:eastAsia="zh-CN" w:bidi="ar-SA"/>
        </w:rPr>
        <w:t>，</w:t>
      </w:r>
      <w:r>
        <w:rPr>
          <w:rFonts w:hint="eastAsia" w:ascii="Times New Roman" w:hAnsi="Times New Roman" w:eastAsia="仿宋" w:cs="Times New Roman"/>
          <w:b w:val="0"/>
          <w:bCs w:val="0"/>
          <w:color w:val="000000"/>
          <w:kern w:val="0"/>
          <w:sz w:val="32"/>
          <w:szCs w:val="32"/>
          <w:lang w:val="en-US" w:eastAsia="zh-CN" w:bidi="ar-SA"/>
        </w:rPr>
        <w:t>倒查各镇街（园区）、市级部门重点工作落实情况。片区下沉开展以来，共对养老场所、城镇燃气、分租式厂房</w:t>
      </w:r>
      <w:r>
        <w:rPr>
          <w:rFonts w:hint="eastAsia" w:ascii="Times New Roman" w:hAnsi="Times New Roman" w:eastAsia="仿宋" w:cs="Times New Roman"/>
          <w:b w:val="0"/>
          <w:bCs w:val="0"/>
          <w:color w:val="auto"/>
          <w:kern w:val="0"/>
          <w:sz w:val="32"/>
          <w:szCs w:val="32"/>
          <w:lang w:val="en-US" w:eastAsia="zh-CN" w:bidi="ar-SA"/>
        </w:rPr>
        <w:t>等</w:t>
      </w:r>
      <w:r>
        <w:rPr>
          <w:rFonts w:hint="eastAsia" w:eastAsia="仿宋" w:cs="Times New Roman"/>
          <w:b w:val="0"/>
          <w:bCs w:val="0"/>
          <w:strike w:val="0"/>
          <w:dstrike w:val="0"/>
          <w:color w:val="auto"/>
          <w:kern w:val="0"/>
          <w:sz w:val="32"/>
          <w:szCs w:val="32"/>
          <w:lang w:val="en-US" w:eastAsia="zh-CN" w:bidi="ar-SA"/>
        </w:rPr>
        <w:t>15</w:t>
      </w:r>
      <w:r>
        <w:rPr>
          <w:rFonts w:hint="eastAsia" w:ascii="Times New Roman" w:hAnsi="Times New Roman" w:eastAsia="仿宋" w:cs="Times New Roman"/>
          <w:b w:val="0"/>
          <w:bCs w:val="0"/>
          <w:color w:val="auto"/>
          <w:kern w:val="0"/>
          <w:sz w:val="32"/>
          <w:szCs w:val="32"/>
          <w:lang w:val="en-US" w:eastAsia="zh-CN" w:bidi="ar-SA"/>
        </w:rPr>
        <w:t>个方面</w:t>
      </w:r>
      <w:r>
        <w:rPr>
          <w:rFonts w:hint="eastAsia" w:ascii="Times New Roman" w:hAnsi="Times New Roman" w:eastAsia="仿宋" w:cs="Times New Roman"/>
          <w:b w:val="0"/>
          <w:bCs w:val="0"/>
          <w:color w:val="000000"/>
          <w:kern w:val="0"/>
          <w:sz w:val="32"/>
          <w:szCs w:val="32"/>
          <w:lang w:val="en-US" w:eastAsia="zh-CN" w:bidi="ar-SA"/>
        </w:rPr>
        <w:t>开展了主题下沉，并依托“智慧应急”工程建立了市镇村三级互联互通、高效便捷的应急资源储备调度指挥体系。</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right="0" w:rightChars="0" w:firstLine="642" w:firstLineChars="200"/>
        <w:contextualSpacing/>
        <w:jc w:val="both"/>
        <w:textAlignment w:val="auto"/>
        <w:rPr>
          <w:rFonts w:hint="default" w:ascii="Times New Roman" w:hAnsi="Times New Roman" w:eastAsia="仿宋" w:cs="Times New Roman"/>
          <w:b w:val="0"/>
          <w:bCs w:val="0"/>
          <w:color w:val="FF0000"/>
          <w:kern w:val="2"/>
          <w:sz w:val="32"/>
          <w:szCs w:val="32"/>
          <w:lang w:val="en-US" w:eastAsia="zh-CN"/>
        </w:rPr>
      </w:pPr>
      <w:r>
        <w:rPr>
          <w:rFonts w:hint="eastAsia" w:ascii="楷体" w:hAnsi="楷体" w:eastAsia="楷体" w:cs="楷体"/>
          <w:b/>
          <w:bCs/>
          <w:color w:val="auto"/>
          <w:sz w:val="32"/>
          <w:szCs w:val="32"/>
          <w:highlight w:val="none"/>
          <w:lang w:val="en-US" w:eastAsia="zh-CN"/>
        </w:rPr>
        <w:t>三</w:t>
      </w:r>
      <w:r>
        <w:rPr>
          <w:rFonts w:hint="default" w:ascii="楷体" w:hAnsi="楷体" w:eastAsia="楷体" w:cs="楷体"/>
          <w:b/>
          <w:bCs/>
          <w:sz w:val="32"/>
          <w:szCs w:val="32"/>
          <w:lang w:val="en-US" w:eastAsia="zh-CN"/>
        </w:rPr>
        <w:t>是</w:t>
      </w:r>
      <w:r>
        <w:rPr>
          <w:rFonts w:hint="eastAsia" w:ascii="楷体" w:hAnsi="楷体" w:eastAsia="楷体" w:cs="楷体"/>
          <w:b/>
          <w:bCs/>
          <w:sz w:val="32"/>
          <w:szCs w:val="32"/>
          <w:lang w:val="en-US" w:eastAsia="zh-CN"/>
        </w:rPr>
        <w:t>明确各方职责任务。</w:t>
      </w:r>
      <w:r>
        <w:rPr>
          <w:rFonts w:hint="default" w:ascii="Times New Roman" w:hAnsi="Times New Roman" w:eastAsia="仿宋" w:cs="Times New Roman"/>
          <w:b w:val="0"/>
          <w:bCs w:val="0"/>
          <w:color w:val="auto"/>
          <w:sz w:val="32"/>
          <w:szCs w:val="32"/>
          <w:highlight w:val="none"/>
          <w:lang w:val="en-US" w:eastAsia="zh-CN"/>
        </w:rPr>
        <w:t>制定印发《东莞市安全生产委员会工作规则》《东莞市安全生产委员会办公室工作细则》，进一步明确</w:t>
      </w:r>
      <w:r>
        <w:rPr>
          <w:rFonts w:hint="eastAsia" w:ascii="仿宋_GB2312" w:hAnsi="仿宋_GB2312" w:eastAsia="仿宋" w:cs="仿宋_GB2312"/>
          <w:b w:val="0"/>
          <w:bCs w:val="0"/>
          <w:color w:val="auto"/>
          <w:sz w:val="32"/>
          <w:szCs w:val="32"/>
          <w:highlight w:val="none"/>
          <w:lang w:val="en-US" w:eastAsia="zh-CN"/>
        </w:rPr>
        <w:t>“谁来统、统什么”“谁来管、怎么管”</w:t>
      </w:r>
      <w:r>
        <w:rPr>
          <w:rFonts w:hint="default" w:ascii="Times New Roman" w:hAnsi="Times New Roman" w:eastAsia="仿宋" w:cs="Times New Roman"/>
          <w:b w:val="0"/>
          <w:bCs w:val="0"/>
          <w:color w:val="auto"/>
          <w:sz w:val="32"/>
          <w:szCs w:val="32"/>
          <w:highlight w:val="none"/>
          <w:lang w:val="en-US" w:eastAsia="zh-CN"/>
        </w:rPr>
        <w:t>；制定2025年安委会工作要点，为全年安全生产工作定基调、把方向</w:t>
      </w:r>
      <w:r>
        <w:rPr>
          <w:rFonts w:hint="eastAsia" w:eastAsia="仿宋" w:cs="Times New Roman"/>
          <w:b w:val="0"/>
          <w:bCs w:val="0"/>
          <w:color w:val="auto"/>
          <w:sz w:val="32"/>
          <w:szCs w:val="32"/>
          <w:highlight w:val="none"/>
          <w:lang w:val="en-US" w:eastAsia="zh-CN"/>
        </w:rPr>
        <w:t>。同时，动态厘清安全监管盲区漏洞，由市安委办牵头组织市各有关部门认真研究梳理本行业领域在实际监管过程中存在的“职责模糊不清、相互推责、监管盲区”等问题，并提出解决建议和相关依据。</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right="0" w:rightChars="0" w:firstLine="640" w:firstLineChars="200"/>
        <w:contextualSpacing/>
        <w:jc w:val="both"/>
        <w:textAlignment w:val="auto"/>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w:t>
      </w:r>
      <w:r>
        <w:rPr>
          <w:rFonts w:hint="default" w:ascii="黑体" w:hAnsi="黑体" w:eastAsia="黑体" w:cs="黑体"/>
          <w:b w:val="0"/>
          <w:bCs w:val="0"/>
          <w:color w:val="auto"/>
          <w:sz w:val="32"/>
          <w:szCs w:val="32"/>
          <w:highlight w:val="none"/>
          <w:lang w:val="en-US" w:eastAsia="zh-CN"/>
        </w:rPr>
        <w:t>从严从实开展安全生产专项整治</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right="0" w:rightChars="0" w:firstLine="642" w:firstLineChars="200"/>
        <w:contextualSpacing/>
        <w:jc w:val="both"/>
        <w:textAlignment w:val="auto"/>
        <w:rPr>
          <w:rFonts w:hint="default" w:ascii="Times New Roman" w:hAnsi="Times New Roman" w:eastAsia="仿宋" w:cs="Times New Roman"/>
          <w:b w:val="0"/>
          <w:bCs w:val="0"/>
          <w:color w:val="auto"/>
          <w:sz w:val="32"/>
          <w:szCs w:val="32"/>
          <w:u w:val="none"/>
          <w:lang w:val="en-US" w:eastAsia="zh-CN"/>
        </w:rPr>
      </w:pPr>
      <w:r>
        <w:rPr>
          <w:rFonts w:hint="default" w:ascii="楷体" w:hAnsi="楷体" w:eastAsia="楷体" w:cs="楷体"/>
          <w:b/>
          <w:bCs/>
          <w:color w:val="auto"/>
          <w:sz w:val="32"/>
          <w:szCs w:val="32"/>
          <w:highlight w:val="none"/>
          <w:lang w:val="en-US" w:eastAsia="zh-CN"/>
        </w:rPr>
        <w:t>一是</w:t>
      </w:r>
      <w:r>
        <w:rPr>
          <w:rFonts w:hint="eastAsia" w:ascii="楷体" w:hAnsi="楷体" w:eastAsia="楷体" w:cs="楷体"/>
          <w:b/>
          <w:bCs/>
          <w:color w:val="auto"/>
          <w:sz w:val="32"/>
          <w:szCs w:val="32"/>
          <w:highlight w:val="none"/>
          <w:lang w:val="en-US" w:eastAsia="zh-CN"/>
        </w:rPr>
        <w:t>组织</w:t>
      </w:r>
      <w:r>
        <w:rPr>
          <w:rFonts w:hint="default" w:ascii="楷体" w:hAnsi="楷体" w:eastAsia="楷体" w:cs="楷体"/>
          <w:b/>
          <w:bCs/>
          <w:color w:val="auto"/>
          <w:sz w:val="32"/>
          <w:szCs w:val="32"/>
          <w:highlight w:val="none"/>
          <w:lang w:val="en-US" w:eastAsia="zh-CN"/>
        </w:rPr>
        <w:t>开展安全生产治本攻坚三年行动。</w:t>
      </w:r>
      <w:r>
        <w:rPr>
          <w:rFonts w:hint="default" w:ascii="Times New Roman" w:hAnsi="Times New Roman" w:eastAsia="仿宋" w:cs="Times New Roman"/>
          <w:b w:val="0"/>
          <w:bCs w:val="0"/>
          <w:color w:val="auto"/>
          <w:sz w:val="32"/>
          <w:szCs w:val="32"/>
          <w:highlight w:val="none"/>
          <w:lang w:val="en-US" w:eastAsia="zh-CN"/>
        </w:rPr>
        <w:t>围绕</w:t>
      </w:r>
      <w:r>
        <w:rPr>
          <w:rFonts w:hint="eastAsia" w:ascii="仿宋_GB2312" w:hAnsi="仿宋_GB2312" w:eastAsia="仿宋" w:cs="仿宋_GB2312"/>
          <w:b w:val="0"/>
          <w:bCs w:val="0"/>
          <w:color w:val="auto"/>
          <w:sz w:val="32"/>
          <w:szCs w:val="32"/>
          <w:highlight w:val="none"/>
          <w:lang w:val="en-US" w:eastAsia="zh-CN"/>
        </w:rPr>
        <w:t>“人防、技防、工程防、管理防”</w:t>
      </w:r>
      <w:r>
        <w:rPr>
          <w:rFonts w:hint="default" w:ascii="Times New Roman" w:hAnsi="Times New Roman" w:eastAsia="仿宋" w:cs="Times New Roman"/>
          <w:b w:val="0"/>
          <w:bCs w:val="0"/>
          <w:color w:val="auto"/>
          <w:sz w:val="32"/>
          <w:szCs w:val="32"/>
          <w:highlight w:val="none"/>
          <w:lang w:val="en-US" w:eastAsia="zh-CN"/>
        </w:rPr>
        <w:t>组织落实9大行动</w:t>
      </w:r>
      <w:r>
        <w:rPr>
          <w:rStyle w:val="8"/>
          <w:rFonts w:hint="default" w:ascii="Times New Roman" w:hAnsi="Times New Roman" w:eastAsia="仿宋" w:cs="Times New Roman"/>
          <w:b w:val="0"/>
          <w:bCs w:val="0"/>
          <w:color w:val="auto"/>
          <w:sz w:val="32"/>
          <w:szCs w:val="32"/>
          <w:highlight w:val="none"/>
          <w:lang w:val="en-US" w:eastAsia="zh-CN"/>
        </w:rPr>
        <w:footnoteReference w:id="0"/>
      </w:r>
      <w:r>
        <w:rPr>
          <w:rFonts w:hint="default" w:ascii="Times New Roman" w:hAnsi="Times New Roman" w:eastAsia="仿宋" w:cs="Times New Roman"/>
          <w:b w:val="0"/>
          <w:bCs w:val="0"/>
          <w:color w:val="auto"/>
          <w:sz w:val="32"/>
          <w:szCs w:val="32"/>
          <w:highlight w:val="none"/>
          <w:lang w:val="en-US" w:eastAsia="zh-CN"/>
        </w:rPr>
        <w:t>、26项重点工作措施，设立了行动专报，定期调度行动情况，推广优秀工作经验，并将年度重点任务拆分成工作包分派至市级</w:t>
      </w:r>
      <w:r>
        <w:rPr>
          <w:rFonts w:hint="eastAsia" w:eastAsia="仿宋" w:cs="Times New Roman"/>
          <w:b w:val="0"/>
          <w:bCs w:val="0"/>
          <w:color w:val="auto"/>
          <w:sz w:val="32"/>
          <w:szCs w:val="32"/>
          <w:highlight w:val="none"/>
          <w:lang w:val="en-US" w:eastAsia="zh-CN"/>
        </w:rPr>
        <w:t>各有关</w:t>
      </w:r>
      <w:r>
        <w:rPr>
          <w:rFonts w:hint="default" w:ascii="Times New Roman" w:hAnsi="Times New Roman" w:eastAsia="仿宋" w:cs="Times New Roman"/>
          <w:b w:val="0"/>
          <w:bCs w:val="0"/>
          <w:color w:val="auto"/>
          <w:sz w:val="32"/>
          <w:szCs w:val="32"/>
          <w:highlight w:val="none"/>
          <w:lang w:val="en-US" w:eastAsia="zh-CN"/>
        </w:rPr>
        <w:t>部门，全力推动各项任务有效落地</w:t>
      </w:r>
      <w:r>
        <w:rPr>
          <w:rFonts w:hint="eastAsia" w:ascii="仿宋_GB2312" w:hAnsi="仿宋_GB2312" w:eastAsia="仿宋" w:cs="仿宋_GB2312"/>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right="0" w:rightChars="0" w:firstLine="642" w:firstLineChars="200"/>
        <w:contextualSpacing/>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楷体" w:hAnsi="楷体" w:eastAsia="楷体" w:cs="楷体"/>
          <w:b/>
          <w:bCs/>
          <w:color w:val="auto"/>
          <w:sz w:val="32"/>
          <w:szCs w:val="32"/>
          <w:highlight w:val="none"/>
          <w:lang w:val="en-US" w:eastAsia="zh-CN"/>
        </w:rPr>
        <w:t>二是深化安全生产领域</w:t>
      </w:r>
      <w:r>
        <w:rPr>
          <w:rFonts w:hint="eastAsia" w:ascii="楷体" w:hAnsi="楷体" w:eastAsia="楷体" w:cs="楷体"/>
          <w:b/>
          <w:bCs/>
          <w:color w:val="auto"/>
          <w:sz w:val="32"/>
          <w:szCs w:val="32"/>
          <w:highlight w:val="none"/>
          <w:lang w:val="en-US" w:eastAsia="zh-CN"/>
        </w:rPr>
        <w:t>“小切口”</w:t>
      </w:r>
      <w:r>
        <w:rPr>
          <w:rFonts w:hint="default" w:ascii="楷体" w:hAnsi="楷体" w:eastAsia="楷体" w:cs="楷体"/>
          <w:b/>
          <w:bCs/>
          <w:color w:val="auto"/>
          <w:sz w:val="32"/>
          <w:szCs w:val="32"/>
          <w:highlight w:val="none"/>
          <w:lang w:val="en-US" w:eastAsia="zh-CN"/>
        </w:rPr>
        <w:t>治理工作。</w:t>
      </w:r>
      <w:r>
        <w:rPr>
          <w:rFonts w:hint="default" w:ascii="Times New Roman" w:hAnsi="Times New Roman" w:eastAsia="仿宋" w:cs="Times New Roman"/>
          <w:b w:val="0"/>
          <w:bCs w:val="0"/>
          <w:color w:val="auto"/>
          <w:sz w:val="32"/>
          <w:szCs w:val="32"/>
          <w:lang w:val="en-US" w:eastAsia="zh-CN" w:bidi="ar-SA"/>
        </w:rPr>
        <w:t>通过深入</w:t>
      </w:r>
      <w:r>
        <w:rPr>
          <w:rFonts w:hint="default" w:ascii="Times New Roman" w:hAnsi="Times New Roman" w:eastAsia="仿宋" w:cs="Times New Roman"/>
          <w:color w:val="auto"/>
          <w:sz w:val="32"/>
          <w:szCs w:val="32"/>
          <w:lang w:eastAsia="zh-CN"/>
        </w:rPr>
        <w:t>剖析各行业领域生产安全事故暴露的突出问题，找出容易造成群死群伤的薄弱点，并实施精准治理。</w:t>
      </w:r>
      <w:r>
        <w:rPr>
          <w:rFonts w:hint="eastAsia" w:eastAsia="仿宋" w:cs="Times New Roman"/>
          <w:color w:val="auto"/>
          <w:sz w:val="32"/>
          <w:szCs w:val="32"/>
          <w:lang w:eastAsia="zh-CN"/>
        </w:rPr>
        <w:t>推动各有关部门</w:t>
      </w:r>
      <w:r>
        <w:rPr>
          <w:rFonts w:hint="default" w:ascii="Times New Roman" w:hAnsi="Times New Roman" w:eastAsia="仿宋" w:cs="Times New Roman"/>
          <w:b w:val="0"/>
          <w:bCs w:val="0"/>
          <w:color w:val="auto"/>
          <w:sz w:val="32"/>
          <w:szCs w:val="32"/>
          <w:lang w:val="en-US" w:eastAsia="zh-CN" w:bidi="ar-SA"/>
        </w:rPr>
        <w:t>部署</w:t>
      </w:r>
      <w:r>
        <w:rPr>
          <w:rFonts w:hint="eastAsia" w:eastAsia="仿宋" w:cs="Times New Roman"/>
          <w:b w:val="0"/>
          <w:bCs w:val="0"/>
          <w:color w:val="auto"/>
          <w:sz w:val="32"/>
          <w:szCs w:val="32"/>
          <w:lang w:val="en-US" w:eastAsia="zh-CN" w:bidi="ar-SA"/>
        </w:rPr>
        <w:t>开展</w:t>
      </w:r>
      <w:r>
        <w:rPr>
          <w:rFonts w:hint="default" w:ascii="Times New Roman" w:hAnsi="Times New Roman" w:eastAsia="仿宋" w:cs="Times New Roman"/>
          <w:b w:val="0"/>
          <w:bCs w:val="0"/>
          <w:color w:val="auto"/>
          <w:sz w:val="32"/>
          <w:szCs w:val="32"/>
          <w:lang w:val="en-US" w:eastAsia="zh-CN" w:bidi="ar-SA"/>
        </w:rPr>
        <w:t>了非机动车道建设、限额以下工程监管等15项</w:t>
      </w:r>
      <w:r>
        <w:rPr>
          <w:rFonts w:hint="eastAsia" w:ascii="仿宋_GB2312" w:hAnsi="仿宋_GB2312" w:eastAsia="仿宋" w:cs="仿宋_GB2312"/>
          <w:b w:val="0"/>
          <w:bCs w:val="0"/>
          <w:color w:val="auto"/>
          <w:sz w:val="32"/>
          <w:szCs w:val="32"/>
          <w:lang w:val="en-US" w:eastAsia="zh-CN" w:bidi="ar-SA"/>
        </w:rPr>
        <w:t>“小切口”</w:t>
      </w:r>
      <w:r>
        <w:rPr>
          <w:rFonts w:hint="default" w:ascii="Times New Roman" w:hAnsi="Times New Roman" w:eastAsia="仿宋" w:cs="Times New Roman"/>
          <w:b w:val="0"/>
          <w:bCs w:val="0"/>
          <w:color w:val="auto"/>
          <w:sz w:val="32"/>
          <w:szCs w:val="32"/>
          <w:lang w:val="en-US" w:eastAsia="zh-CN" w:bidi="ar-SA"/>
        </w:rPr>
        <w:t>治理任务，研究细化了建筑施工、再生资源回收、道路交通、养老服务和儿童福利等重点领域的</w:t>
      </w:r>
      <w:r>
        <w:rPr>
          <w:rFonts w:hint="eastAsia" w:ascii="仿宋_GB2312" w:hAnsi="仿宋_GB2312" w:eastAsia="仿宋" w:cs="仿宋_GB2312"/>
          <w:b w:val="0"/>
          <w:bCs w:val="0"/>
          <w:color w:val="auto"/>
          <w:sz w:val="32"/>
          <w:szCs w:val="32"/>
          <w:lang w:val="en-US" w:eastAsia="zh-CN" w:bidi="ar-SA"/>
        </w:rPr>
        <w:t>“小切口”</w:t>
      </w:r>
      <w:r>
        <w:rPr>
          <w:rFonts w:hint="default" w:ascii="Times New Roman" w:hAnsi="Times New Roman" w:eastAsia="仿宋" w:cs="Times New Roman"/>
          <w:b w:val="0"/>
          <w:bCs w:val="0"/>
          <w:color w:val="auto"/>
          <w:sz w:val="32"/>
          <w:szCs w:val="32"/>
          <w:lang w:val="en-US" w:eastAsia="zh-CN" w:bidi="ar-SA"/>
        </w:rPr>
        <w:t>治理措施，</w:t>
      </w:r>
      <w:r>
        <w:rPr>
          <w:rFonts w:hint="default" w:ascii="Times New Roman" w:hAnsi="Times New Roman" w:eastAsia="仿宋" w:cs="Times New Roman"/>
          <w:b w:val="0"/>
          <w:bCs w:val="0"/>
          <w:color w:val="auto"/>
          <w:sz w:val="32"/>
          <w:szCs w:val="32"/>
          <w:highlight w:val="none"/>
          <w:lang w:val="en-US" w:eastAsia="zh-CN"/>
        </w:rPr>
        <w:t>最终固化形成3至5项长效硬措施，推动各项</w:t>
      </w:r>
      <w:r>
        <w:rPr>
          <w:rFonts w:hint="eastAsia" w:ascii="仿宋_GB2312" w:hAnsi="仿宋_GB2312" w:eastAsia="仿宋" w:cs="仿宋_GB2312"/>
          <w:b w:val="0"/>
          <w:bCs w:val="0"/>
          <w:color w:val="auto"/>
          <w:sz w:val="32"/>
          <w:szCs w:val="32"/>
          <w:lang w:val="en-US" w:eastAsia="zh-CN"/>
        </w:rPr>
        <w:t>“小切口”</w:t>
      </w:r>
      <w:r>
        <w:rPr>
          <w:rFonts w:hint="default" w:ascii="Times New Roman" w:hAnsi="Times New Roman" w:eastAsia="仿宋" w:cs="Times New Roman"/>
          <w:b w:val="0"/>
          <w:bCs w:val="0"/>
          <w:color w:val="auto"/>
          <w:sz w:val="32"/>
          <w:szCs w:val="32"/>
          <w:highlight w:val="none"/>
          <w:lang w:val="en-US" w:eastAsia="zh-CN"/>
        </w:rPr>
        <w:t>治理</w:t>
      </w:r>
      <w:r>
        <w:rPr>
          <w:rFonts w:hint="default" w:ascii="Times New Roman" w:hAnsi="Times New Roman" w:eastAsia="仿宋" w:cs="Times New Roman"/>
          <w:b w:val="0"/>
          <w:bCs w:val="0"/>
          <w:color w:val="auto"/>
          <w:sz w:val="32"/>
          <w:szCs w:val="32"/>
          <w:lang w:val="en-US" w:eastAsia="zh-CN"/>
        </w:rPr>
        <w:t>任务</w:t>
      </w:r>
      <w:r>
        <w:rPr>
          <w:rFonts w:hint="default" w:ascii="Times New Roman" w:hAnsi="Times New Roman" w:eastAsia="仿宋" w:cs="Times New Roman"/>
          <w:b w:val="0"/>
          <w:bCs w:val="0"/>
          <w:color w:val="auto"/>
          <w:sz w:val="32"/>
          <w:szCs w:val="32"/>
          <w:highlight w:val="none"/>
          <w:lang w:val="en-US" w:eastAsia="zh-CN"/>
        </w:rPr>
        <w:t>取得</w:t>
      </w:r>
      <w:r>
        <w:rPr>
          <w:rFonts w:hint="default" w:ascii="Times New Roman" w:hAnsi="Times New Roman" w:eastAsia="仿宋" w:cs="Times New Roman"/>
          <w:b w:val="0"/>
          <w:bCs w:val="0"/>
          <w:color w:val="auto"/>
          <w:sz w:val="32"/>
          <w:szCs w:val="32"/>
          <w:lang w:val="en-US" w:eastAsia="zh-CN"/>
        </w:rPr>
        <w:t>显著成效</w:t>
      </w:r>
      <w:r>
        <w:rPr>
          <w:rFonts w:hint="default" w:ascii="Times New Roman" w:hAnsi="Times New Roman" w:eastAsia="仿宋" w:cs="Times New Roman"/>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right="0" w:rightChars="0" w:firstLine="642" w:firstLineChars="200"/>
        <w:contextualSpacing/>
        <w:jc w:val="both"/>
        <w:textAlignment w:val="auto"/>
        <w:rPr>
          <w:rFonts w:hint="default" w:eastAsia="仿宋"/>
        </w:rPr>
      </w:pPr>
      <w:r>
        <w:rPr>
          <w:rFonts w:hint="eastAsia" w:ascii="楷体" w:hAnsi="楷体" w:eastAsia="楷体" w:cs="楷体"/>
          <w:b/>
          <w:bCs/>
          <w:color w:val="auto"/>
          <w:sz w:val="32"/>
          <w:szCs w:val="32"/>
          <w:highlight w:val="none"/>
          <w:lang w:val="en-US" w:eastAsia="zh-CN"/>
        </w:rPr>
        <w:t>三是统筹开展</w:t>
      </w:r>
      <w:r>
        <w:rPr>
          <w:rFonts w:hint="default" w:ascii="Times New Roman" w:hAnsi="Times New Roman" w:eastAsia="楷体" w:cs="Times New Roman"/>
          <w:b/>
          <w:bCs/>
          <w:color w:val="auto"/>
          <w:sz w:val="32"/>
          <w:szCs w:val="32"/>
          <w:highlight w:val="none"/>
          <w:lang w:val="en-US" w:eastAsia="zh-CN"/>
        </w:rPr>
        <w:t>2025</w:t>
      </w:r>
      <w:r>
        <w:rPr>
          <w:rFonts w:hint="eastAsia" w:ascii="楷体" w:hAnsi="楷体" w:eastAsia="楷体" w:cs="楷体"/>
          <w:b/>
          <w:bCs/>
          <w:color w:val="auto"/>
          <w:sz w:val="32"/>
          <w:szCs w:val="32"/>
          <w:highlight w:val="none"/>
          <w:lang w:val="en-US" w:eastAsia="zh-CN"/>
        </w:rPr>
        <w:t>“隐患排查治理年”行动。</w:t>
      </w:r>
      <w:r>
        <w:rPr>
          <w:rFonts w:hint="eastAsia" w:ascii="仿宋" w:hAnsi="仿宋" w:eastAsia="仿宋" w:cs="仿宋"/>
          <w:b w:val="0"/>
          <w:bCs w:val="0"/>
          <w:w w:val="100"/>
          <w:sz w:val="32"/>
          <w:szCs w:val="32"/>
          <w:lang w:val="en-US" w:eastAsia="zh-CN"/>
        </w:rPr>
        <w:t>经市委、市政府主要领导同意，市安委会制定印发了</w:t>
      </w:r>
      <w:r>
        <w:rPr>
          <w:rFonts w:hint="eastAsia" w:ascii="Times New Roman" w:hAnsi="Times New Roman" w:eastAsia="仿宋" w:cs="Times New Roman"/>
          <w:i w:val="0"/>
          <w:caps w:val="0"/>
          <w:color w:val="auto"/>
          <w:spacing w:val="0"/>
          <w:kern w:val="2"/>
          <w:sz w:val="32"/>
          <w:szCs w:val="32"/>
          <w:highlight w:val="none"/>
          <w:shd w:val="clear" w:color="auto" w:fill="FFFFFF"/>
          <w:lang w:val="en-US" w:eastAsia="zh-CN" w:bidi="ar-SA"/>
        </w:rPr>
        <w:t>《东莞市2025“隐患排查治理年”行动方案》，组织各级各部门</w:t>
      </w:r>
      <w:r>
        <w:rPr>
          <w:rFonts w:hint="eastAsia" w:ascii="仿宋" w:hAnsi="仿宋" w:eastAsia="仿宋" w:cs="仿宋"/>
          <w:color w:val="000000"/>
          <w:sz w:val="32"/>
          <w:szCs w:val="32"/>
          <w:highlight w:val="none"/>
          <w:lang w:val="en-US" w:eastAsia="zh-CN"/>
        </w:rPr>
        <w:t>紧盯重点行业领域、人员密集场所、危险作业、重要工程和敏感时间节点，对全市所有行业重点经营单位进行拉网式、起底式排查，全面排查企业和隐患底数，建立隐患台账，做到隐患治理责任人、措施、资金、期限、应急预案“五落实”。为推动行动走深走实，</w:t>
      </w:r>
      <w:r>
        <w:rPr>
          <w:rFonts w:hint="eastAsia" w:ascii="Times New Roman" w:hAnsi="Times New Roman" w:eastAsia="仿宋" w:cs="Times New Roman"/>
          <w:b w:val="0"/>
          <w:bCs w:val="0"/>
          <w:color w:val="auto"/>
          <w:spacing w:val="0"/>
          <w:kern w:val="2"/>
          <w:sz w:val="32"/>
          <w:szCs w:val="32"/>
          <w:lang w:val="en-US" w:eastAsia="zh-CN"/>
        </w:rPr>
        <w:t>按照市主要领导的指示精神，市安委会</w:t>
      </w:r>
      <w:r>
        <w:rPr>
          <w:rFonts w:hint="eastAsia" w:eastAsia="仿宋" w:cs="Times New Roman"/>
          <w:b w:val="0"/>
          <w:bCs w:val="0"/>
          <w:color w:val="auto"/>
          <w:spacing w:val="0"/>
          <w:kern w:val="2"/>
          <w:sz w:val="32"/>
          <w:szCs w:val="32"/>
          <w:lang w:val="en-US" w:eastAsia="zh-CN"/>
        </w:rPr>
        <w:t>针对</w:t>
      </w:r>
      <w:r>
        <w:rPr>
          <w:rFonts w:hint="eastAsia" w:ascii="Times New Roman" w:hAnsi="Times New Roman" w:eastAsia="仿宋" w:cs="Times New Roman"/>
          <w:b w:val="0"/>
          <w:bCs w:val="0"/>
          <w:color w:val="auto"/>
          <w:spacing w:val="0"/>
          <w:kern w:val="2"/>
          <w:sz w:val="32"/>
          <w:szCs w:val="32"/>
          <w:lang w:val="en-US" w:eastAsia="zh-CN"/>
        </w:rPr>
        <w:t>2025“隐患排查治理年”行动</w:t>
      </w:r>
      <w:r>
        <w:rPr>
          <w:rFonts w:hint="eastAsia" w:eastAsia="仿宋" w:cs="Times New Roman"/>
          <w:b w:val="0"/>
          <w:bCs w:val="0"/>
          <w:color w:val="auto"/>
          <w:spacing w:val="0"/>
          <w:kern w:val="2"/>
          <w:sz w:val="32"/>
          <w:szCs w:val="32"/>
          <w:lang w:val="en-US" w:eastAsia="zh-CN"/>
        </w:rPr>
        <w:t>高规格</w:t>
      </w:r>
      <w:r>
        <w:rPr>
          <w:rFonts w:hint="eastAsia" w:ascii="Times New Roman" w:hAnsi="Times New Roman" w:eastAsia="仿宋" w:cs="Times New Roman"/>
          <w:b w:val="0"/>
          <w:bCs w:val="0"/>
          <w:color w:val="auto"/>
          <w:spacing w:val="0"/>
          <w:kern w:val="2"/>
          <w:sz w:val="32"/>
          <w:szCs w:val="32"/>
          <w:lang w:val="en-US" w:eastAsia="zh-CN"/>
        </w:rPr>
        <w:t>制定了</w:t>
      </w:r>
      <w:r>
        <w:rPr>
          <w:rFonts w:hint="eastAsia" w:eastAsia="仿宋" w:cs="Times New Roman"/>
          <w:b w:val="0"/>
          <w:bCs w:val="0"/>
          <w:color w:val="auto"/>
          <w:spacing w:val="0"/>
          <w:kern w:val="2"/>
          <w:sz w:val="32"/>
          <w:szCs w:val="32"/>
          <w:lang w:val="en-US" w:eastAsia="zh-CN"/>
        </w:rPr>
        <w:t>“四套班子”督导方案</w:t>
      </w:r>
      <w:r>
        <w:rPr>
          <w:rFonts w:hint="default" w:ascii="Times New Roman" w:hAnsi="Times New Roman" w:eastAsia="仿宋" w:cs="Times New Roman"/>
          <w:b w:val="0"/>
          <w:bCs w:val="0"/>
          <w:color w:val="000000"/>
          <w:kern w:val="0"/>
          <w:sz w:val="32"/>
          <w:szCs w:val="32"/>
          <w:lang w:val="en-US" w:eastAsia="zh-CN" w:bidi="ar-SA"/>
        </w:rPr>
        <w:t>，组织市委、市政府、市人大、市政协四套班子成员分领域、分片区督导安全</w:t>
      </w:r>
      <w:r>
        <w:rPr>
          <w:rFonts w:hint="eastAsia" w:ascii="Times New Roman" w:hAnsi="Times New Roman" w:eastAsia="仿宋" w:cs="Times New Roman"/>
          <w:b w:val="0"/>
          <w:bCs w:val="0"/>
          <w:color w:val="000000"/>
          <w:kern w:val="0"/>
          <w:sz w:val="32"/>
          <w:szCs w:val="32"/>
          <w:lang w:val="en-US" w:eastAsia="zh-CN" w:bidi="ar-SA"/>
        </w:rPr>
        <w:t>防范</w:t>
      </w:r>
      <w:r>
        <w:rPr>
          <w:rFonts w:hint="default" w:ascii="Times New Roman" w:hAnsi="Times New Roman" w:eastAsia="仿宋" w:cs="Times New Roman"/>
          <w:b w:val="0"/>
          <w:bCs w:val="0"/>
          <w:color w:val="000000"/>
          <w:kern w:val="0"/>
          <w:sz w:val="32"/>
          <w:szCs w:val="32"/>
          <w:lang w:val="en-US" w:eastAsia="zh-CN" w:bidi="ar-SA"/>
        </w:rPr>
        <w:t>工作，</w:t>
      </w:r>
      <w:r>
        <w:rPr>
          <w:rFonts w:hint="eastAsia" w:eastAsia="仿宋" w:cs="Times New Roman"/>
          <w:i w:val="0"/>
          <w:caps w:val="0"/>
          <w:color w:val="auto"/>
          <w:spacing w:val="0"/>
          <w:kern w:val="2"/>
          <w:sz w:val="32"/>
          <w:szCs w:val="32"/>
          <w:highlight w:val="none"/>
          <w:shd w:val="clear" w:color="auto" w:fill="FFFFFF"/>
          <w:lang w:val="en-US" w:eastAsia="zh-CN" w:bidi="ar-SA"/>
        </w:rPr>
        <w:t>并分阶段制定了督导清单</w:t>
      </w:r>
      <w:r>
        <w:rPr>
          <w:rFonts w:hint="eastAsia" w:ascii="Times New Roman" w:hAnsi="Times New Roman" w:eastAsia="仿宋" w:cs="Times New Roman"/>
          <w:b w:val="0"/>
          <w:bCs w:val="0"/>
          <w:color w:val="000000"/>
          <w:kern w:val="0"/>
          <w:sz w:val="32"/>
          <w:szCs w:val="32"/>
          <w:lang w:val="en-US" w:eastAsia="zh-CN" w:bidi="ar-SA"/>
        </w:rPr>
        <w:t>。</w:t>
      </w:r>
    </w:p>
    <w:sectPr>
      <w:footerReference r:id="rId5" w:type="default"/>
      <w:pgSz w:w="11906" w:h="16838"/>
      <w:pgMar w:top="1871" w:right="1587" w:bottom="1871" w:left="1587" w:header="851" w:footer="992" w:gutter="0"/>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eastAsia="仿宋"/>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eastAsia="仿宋" w:cs="Times New Roman"/>
                              <w:sz w:val="28"/>
                              <w:szCs w:val="28"/>
                            </w:rPr>
                          </w:pPr>
                          <w:r>
                            <w:rPr>
                              <w:rFonts w:hint="eastAsia" w:ascii="Times New Roman" w:hAnsi="Times New Roman" w:eastAsia="仿宋" w:cs="Times New Roman"/>
                              <w:sz w:val="28"/>
                              <w:szCs w:val="28"/>
                              <w:lang w:eastAsia="zh-CN"/>
                            </w:rPr>
                            <w:t>—</w:t>
                          </w:r>
                          <w:r>
                            <w:rPr>
                              <w:rFonts w:eastAsia="仿宋" w:cs="Times New Roman"/>
                              <w:sz w:val="28"/>
                              <w:szCs w:val="28"/>
                            </w:rPr>
                            <w:fldChar w:fldCharType="begin"/>
                          </w:r>
                          <w:r>
                            <w:rPr>
                              <w:rFonts w:eastAsia="仿宋" w:cs="Times New Roman"/>
                              <w:sz w:val="28"/>
                              <w:szCs w:val="28"/>
                            </w:rPr>
                            <w:instrText xml:space="preserve"> PAGE  \* MERGEFORMAT </w:instrText>
                          </w:r>
                          <w:r>
                            <w:rPr>
                              <w:rFonts w:eastAsia="仿宋" w:cs="Times New Roman"/>
                              <w:sz w:val="28"/>
                              <w:szCs w:val="28"/>
                            </w:rPr>
                            <w:fldChar w:fldCharType="separate"/>
                          </w:r>
                          <w:r>
                            <w:rPr>
                              <w:rFonts w:eastAsia="仿宋" w:cs="Times New Roman"/>
                              <w:sz w:val="28"/>
                              <w:szCs w:val="28"/>
                            </w:rPr>
                            <w:t>3</w:t>
                          </w:r>
                          <w:r>
                            <w:rPr>
                              <w:rFonts w:eastAsia="仿宋" w:cs="Times New Roman"/>
                              <w:sz w:val="28"/>
                              <w:szCs w:val="28"/>
                            </w:rPr>
                            <w:fldChar w:fldCharType="end"/>
                          </w:r>
                          <w:r>
                            <w:rPr>
                              <w:rFonts w:hint="eastAsia" w:ascii="Times New Roman" w:hAnsi="Times New Roman" w:eastAsia="仿宋" w:cs="Times New Roman"/>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3"/>
                      <w:jc w:val="center"/>
                      <w:rPr>
                        <w:rFonts w:eastAsia="仿宋" w:cs="Times New Roman"/>
                        <w:sz w:val="28"/>
                        <w:szCs w:val="28"/>
                      </w:rPr>
                    </w:pPr>
                    <w:r>
                      <w:rPr>
                        <w:rFonts w:hint="eastAsia" w:ascii="Times New Roman" w:hAnsi="Times New Roman" w:eastAsia="仿宋" w:cs="Times New Roman"/>
                        <w:sz w:val="28"/>
                        <w:szCs w:val="28"/>
                        <w:lang w:eastAsia="zh-CN"/>
                      </w:rPr>
                      <w:t>—</w:t>
                    </w:r>
                    <w:r>
                      <w:rPr>
                        <w:rFonts w:eastAsia="仿宋" w:cs="Times New Roman"/>
                        <w:sz w:val="28"/>
                        <w:szCs w:val="28"/>
                      </w:rPr>
                      <w:fldChar w:fldCharType="begin"/>
                    </w:r>
                    <w:r>
                      <w:rPr>
                        <w:rFonts w:eastAsia="仿宋" w:cs="Times New Roman"/>
                        <w:sz w:val="28"/>
                        <w:szCs w:val="28"/>
                      </w:rPr>
                      <w:instrText xml:space="preserve"> PAGE  \* MERGEFORMAT </w:instrText>
                    </w:r>
                    <w:r>
                      <w:rPr>
                        <w:rFonts w:eastAsia="仿宋" w:cs="Times New Roman"/>
                        <w:sz w:val="28"/>
                        <w:szCs w:val="28"/>
                      </w:rPr>
                      <w:fldChar w:fldCharType="separate"/>
                    </w:r>
                    <w:r>
                      <w:rPr>
                        <w:rFonts w:eastAsia="仿宋" w:cs="Times New Roman"/>
                        <w:sz w:val="28"/>
                        <w:szCs w:val="28"/>
                      </w:rPr>
                      <w:t>3</w:t>
                    </w:r>
                    <w:r>
                      <w:rPr>
                        <w:rFonts w:eastAsia="仿宋" w:cs="Times New Roman"/>
                        <w:sz w:val="28"/>
                        <w:szCs w:val="28"/>
                      </w:rPr>
                      <w:fldChar w:fldCharType="end"/>
                    </w:r>
                    <w:r>
                      <w:rPr>
                        <w:rFonts w:hint="eastAsia" w:ascii="Times New Roman" w:hAnsi="Times New Roman" w:eastAsia="仿宋" w:cs="Times New Roman"/>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pPr>
        <w:widowControl w:val="0"/>
        <w:snapToGrid/>
        <w:spacing w:line="400" w:lineRule="exact"/>
        <w:ind w:firstLine="0" w:firstLineChars="0"/>
        <w:jc w:val="both"/>
        <w:rPr>
          <w:rFonts w:hint="default" w:ascii="Times New Roman" w:hAnsi="Times New Roman" w:eastAsia="仿宋" w:cs="Times New Roman"/>
          <w:kern w:val="2"/>
          <w:sz w:val="28"/>
          <w:szCs w:val="28"/>
          <w:lang w:val="en-US" w:eastAsia="zh-CN" w:bidi="ar-SA"/>
        </w:rPr>
      </w:pPr>
      <w:r>
        <w:rPr>
          <w:rStyle w:val="8"/>
          <w:rFonts w:hint="default" w:ascii="Times New Roman" w:hAnsi="Times New Roman" w:eastAsia="仿宋" w:cs="Times New Roman"/>
          <w:kern w:val="2"/>
          <w:sz w:val="28"/>
          <w:szCs w:val="28"/>
          <w:lang w:val="en-US" w:eastAsia="zh-CN" w:bidi="ar-SA"/>
        </w:rPr>
        <w:footnoteRef/>
      </w:r>
      <w:r>
        <w:rPr>
          <w:rStyle w:val="8"/>
          <w:rFonts w:hint="default" w:ascii="Times New Roman" w:hAnsi="Times New Roman" w:eastAsia="仿宋" w:cs="Times New Roman"/>
          <w:kern w:val="2"/>
          <w:sz w:val="28"/>
          <w:szCs w:val="28"/>
          <w:lang w:val="en-US" w:eastAsia="zh-CN" w:bidi="ar-SA"/>
        </w:rPr>
        <w:t xml:space="preserve"> </w:t>
      </w:r>
      <w:r>
        <w:rPr>
          <w:rFonts w:hint="default" w:ascii="Times New Roman" w:hAnsi="Times New Roman" w:eastAsia="仿宋" w:cs="Times New Roman"/>
          <w:b w:val="0"/>
          <w:bCs w:val="0"/>
          <w:kern w:val="2"/>
          <w:sz w:val="28"/>
          <w:szCs w:val="28"/>
          <w:highlight w:val="none"/>
          <w:lang w:val="en-US" w:eastAsia="zh-CN" w:bidi="ar-SA"/>
        </w:rPr>
        <w:t>9大行动：企业主要负责人安全教育培训、重大事故隐患判定标准体系完善、重大事故隐患动态清零、安全科技支撑和工程治理、从业人员安全素质提升、安全管理体系建设、精准执法和帮扶、全民安全素质提升、安全发展示范城市创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FCA946"/>
    <w:rsid w:val="03A52548"/>
    <w:rsid w:val="0DFE6ABE"/>
    <w:rsid w:val="15FFDD5C"/>
    <w:rsid w:val="174C2531"/>
    <w:rsid w:val="1C6D02DA"/>
    <w:rsid w:val="1E9A140E"/>
    <w:rsid w:val="260304B5"/>
    <w:rsid w:val="279544FE"/>
    <w:rsid w:val="28154A9C"/>
    <w:rsid w:val="34F41174"/>
    <w:rsid w:val="35E17298"/>
    <w:rsid w:val="50BC719F"/>
    <w:rsid w:val="532026FC"/>
    <w:rsid w:val="5E186742"/>
    <w:rsid w:val="677AF864"/>
    <w:rsid w:val="67812036"/>
    <w:rsid w:val="6DEFDD55"/>
    <w:rsid w:val="6DFCA946"/>
    <w:rsid w:val="711E678E"/>
    <w:rsid w:val="75A44ED9"/>
    <w:rsid w:val="766FE9FA"/>
    <w:rsid w:val="7B7F47DE"/>
    <w:rsid w:val="7BDB7835"/>
    <w:rsid w:val="7CE65DD7"/>
    <w:rsid w:val="7FF14806"/>
    <w:rsid w:val="7FF5CCBA"/>
    <w:rsid w:val="BD64FB5C"/>
    <w:rsid w:val="CFDAF154"/>
    <w:rsid w:val="DDEFC739"/>
    <w:rsid w:val="EDB3020E"/>
    <w:rsid w:val="EF9FE1D4"/>
    <w:rsid w:val="F6FEAB67"/>
    <w:rsid w:val="F7FAB43B"/>
    <w:rsid w:val="FB7B0F6D"/>
    <w:rsid w:val="FDAFD626"/>
    <w:rsid w:val="FDB7C8BC"/>
    <w:rsid w:val="FDD52FF8"/>
    <w:rsid w:val="FDEF26F5"/>
    <w:rsid w:val="FEBF03FC"/>
    <w:rsid w:val="FEFB2C3A"/>
    <w:rsid w:val="FFCAC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ascii="Times New Roman" w:hAnsi="Times New Roman" w:eastAsia="仿宋_GB2312" w:cstheme="minorBidi"/>
      <w:kern w:val="2"/>
      <w:sz w:val="3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3" w:lineRule="auto"/>
      <w:jc w:val="both"/>
      <w:textAlignment w:val="baseline"/>
    </w:pPr>
    <w:rPr>
      <w:rFonts w:ascii="Arial" w:hAnsi="Arial" w:eastAsia="黑体" w:cs="Times New Roman"/>
      <w:b/>
      <w:kern w:val="2"/>
      <w:sz w:val="32"/>
      <w:lang w:val="en-US" w:eastAsia="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footnote text"/>
    <w:basedOn w:val="1"/>
    <w:qFormat/>
    <w:uiPriority w:val="0"/>
    <w:pPr>
      <w:snapToGrid w:val="0"/>
      <w:jc w:val="left"/>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8">
    <w:name w:val="footnote reference"/>
    <w:basedOn w:val="7"/>
    <w:qFormat/>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1251</Words>
  <Characters>1270</Characters>
  <Lines>0</Lines>
  <Paragraphs>0</Paragraphs>
  <TotalTime>6</TotalTime>
  <ScaleCrop>false</ScaleCrop>
  <LinksUpToDate>false</LinksUpToDate>
  <CharactersWithSpaces>1270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2025-05-11T02:00:00Z</dcterms:created>
  <dc:creator>uos</dc:creator>
  <cp:lastModifiedBy>uos</cp:lastModifiedBy>
  <dcterms:modified xsi:type="dcterms:W3CDTF">2025-07-18T17:43:43Z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KSOTemplateDocerSaveRecord">
    <vt:lpwstr>eyJoZGlkIjoiNWNkNGEzNTAzMDQ1ZjBiMGViZDA3OTBiNDA4MzExNmQiLCJ1c2VySWQiOiIzNzk5NzAyMjUifQ==</vt:lpwstr>
  </property>
  <property fmtid="{D5CDD505-2E9C-101B-9397-08002B2CF9AE}" pid="4" name="ICV">
    <vt:lpwstr>CD2EF634410A4C3EBA8C7C44097F7813_12</vt:lpwstr>
  </property>
</Properties>
</file>