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BEE10">
      <w:pPr>
        <w:pageBreakBefore w:val="0"/>
        <w:widowControl w:val="0"/>
        <w:kinsoku/>
        <w:wordWrap/>
        <w:overflowPunct/>
        <w:topLinePunct w:val="0"/>
        <w:autoSpaceDE/>
        <w:autoSpaceDN/>
        <w:bidi w:val="0"/>
        <w:adjustRightInd/>
        <w:snapToGrid/>
        <w:spacing w:line="575" w:lineRule="exact"/>
        <w:ind w:right="840" w:rightChars="400"/>
        <w:jc w:val="both"/>
        <w:rPr>
          <w:rFonts w:hint="default"/>
          <w:lang w:val="en-US" w:eastAsia="zh-CN"/>
        </w:rPr>
      </w:pPr>
      <w:r>
        <w:rPr>
          <w:rFonts w:hint="eastAsia" w:ascii="黑体" w:hAnsi="黑体" w:eastAsia="黑体" w:cs="黑体"/>
          <w:sz w:val="32"/>
          <w:szCs w:val="32"/>
          <w:lang w:eastAsia="zh-CN"/>
        </w:rPr>
        <w:t>附件</w:t>
      </w:r>
    </w:p>
    <w:p w14:paraId="02A67696">
      <w:pPr>
        <w:keepNext w:val="0"/>
        <w:keepLines w:val="0"/>
        <w:pageBreakBefore w:val="0"/>
        <w:widowControl w:val="0"/>
        <w:kinsoku/>
        <w:wordWrap/>
        <w:overflowPunct/>
        <w:topLinePunct w:val="0"/>
        <w:autoSpaceDE/>
        <w:autoSpaceDN/>
        <w:bidi w:val="0"/>
        <w:adjustRightInd/>
        <w:snapToGrid/>
        <w:spacing w:line="575" w:lineRule="exact"/>
        <w:ind w:left="1280" w:hanging="1760" w:hangingChars="400"/>
        <w:jc w:val="center"/>
        <w:outlineLvl w:val="9"/>
        <w:rPr>
          <w:rFonts w:hint="eastAsia" w:ascii="黑体" w:hAnsi="黑体" w:eastAsia="黑体" w:cs="黑体"/>
          <w:b w:val="0"/>
          <w:bCs w:val="0"/>
          <w:sz w:val="32"/>
          <w:szCs w:val="32"/>
        </w:rPr>
      </w:pPr>
      <w:r>
        <w:rPr>
          <w:rFonts w:hint="eastAsia" w:ascii="方正小标宋简体" w:hAnsi="方正小标宋简体" w:eastAsia="方正小标宋简体" w:cs="方正小标宋简体"/>
          <w:sz w:val="44"/>
          <w:szCs w:val="44"/>
          <w:lang w:eastAsia="zh-CN"/>
        </w:rPr>
        <w:t>车载高压水泵更换项目采购需求书</w:t>
      </w:r>
    </w:p>
    <w:p w14:paraId="49CE15C2">
      <w:pPr>
        <w:pStyle w:val="2"/>
        <w:pageBreakBefore w:val="0"/>
        <w:widowControl w:val="0"/>
        <w:kinsoku/>
        <w:wordWrap/>
        <w:overflowPunct/>
        <w:topLinePunct w:val="0"/>
        <w:autoSpaceDE/>
        <w:autoSpaceDN/>
        <w:bidi w:val="0"/>
        <w:adjustRightInd/>
        <w:snapToGrid/>
        <w:spacing w:line="575" w:lineRule="exact"/>
        <w:ind w:firstLine="640" w:firstLineChars="200"/>
        <w:jc w:val="both"/>
        <w:rPr>
          <w:rFonts w:hint="eastAsia" w:ascii="黑体" w:hAnsi="黑体" w:eastAsia="黑体" w:cs="黑体"/>
          <w:b w:val="0"/>
          <w:bCs w:val="0"/>
          <w:sz w:val="32"/>
          <w:szCs w:val="32"/>
        </w:rPr>
      </w:pPr>
    </w:p>
    <w:p w14:paraId="3E79BE22">
      <w:pPr>
        <w:pStyle w:val="2"/>
        <w:pageBreakBefore w:val="0"/>
        <w:widowControl w:val="0"/>
        <w:kinsoku/>
        <w:wordWrap/>
        <w:overflowPunct/>
        <w:topLinePunct w:val="0"/>
        <w:autoSpaceDE/>
        <w:autoSpaceDN/>
        <w:bidi w:val="0"/>
        <w:adjustRightInd/>
        <w:snapToGrid/>
        <w:spacing w:line="575" w:lineRule="exact"/>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一、商务要求</w:t>
      </w:r>
    </w:p>
    <w:tbl>
      <w:tblPr>
        <w:tblStyle w:val="6"/>
        <w:tblpPr w:leftFromText="180" w:rightFromText="180" w:vertAnchor="text" w:horzAnchor="page" w:tblpXSpec="center" w:tblpY="291"/>
        <w:tblOverlap w:val="never"/>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485"/>
        <w:gridCol w:w="7070"/>
      </w:tblGrid>
      <w:tr w14:paraId="4C9D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8" w:type="dxa"/>
            <w:noWrap w:val="0"/>
            <w:vAlign w:val="center"/>
          </w:tcPr>
          <w:p w14:paraId="27837E6A">
            <w:pPr>
              <w:keepNext w:val="0"/>
              <w:keepLines w:val="0"/>
              <w:pageBreakBefore w:val="0"/>
              <w:widowControl w:val="0"/>
              <w:kinsoku/>
              <w:wordWrap/>
              <w:overflowPunct/>
              <w:topLinePunct w:val="0"/>
              <w:autoSpaceDE/>
              <w:autoSpaceDN/>
              <w:bidi w:val="0"/>
              <w:adjustRightInd/>
              <w:snapToGrid/>
              <w:spacing w:line="312" w:lineRule="auto"/>
              <w:jc w:val="center"/>
              <w:rPr>
                <w:rFonts w:hint="eastAsia" w:ascii="黑体" w:hAnsi="黑体" w:eastAsia="黑体" w:cs="黑体"/>
                <w:color w:val="000000"/>
                <w:sz w:val="24"/>
                <w:szCs w:val="24"/>
              </w:rPr>
            </w:pPr>
            <w:bookmarkStart w:id="0" w:name="_Toc16540"/>
            <w:r>
              <w:rPr>
                <w:rFonts w:hint="eastAsia" w:ascii="黑体" w:hAnsi="黑体" w:eastAsia="黑体" w:cs="黑体"/>
                <w:color w:val="000000"/>
                <w:sz w:val="24"/>
                <w:szCs w:val="24"/>
              </w:rPr>
              <w:t>序号</w:t>
            </w:r>
          </w:p>
        </w:tc>
        <w:tc>
          <w:tcPr>
            <w:tcW w:w="1485" w:type="dxa"/>
            <w:noWrap w:val="0"/>
            <w:vAlign w:val="center"/>
          </w:tcPr>
          <w:p w14:paraId="7EEFAF41">
            <w:pPr>
              <w:keepNext w:val="0"/>
              <w:keepLines w:val="0"/>
              <w:pageBreakBefore w:val="0"/>
              <w:widowControl w:val="0"/>
              <w:kinsoku/>
              <w:wordWrap/>
              <w:overflowPunct/>
              <w:topLinePunct w:val="0"/>
              <w:autoSpaceDE/>
              <w:autoSpaceDN/>
              <w:bidi w:val="0"/>
              <w:adjustRightInd/>
              <w:snapToGrid/>
              <w:spacing w:line="312" w:lineRule="auto"/>
              <w:jc w:val="center"/>
              <w:rPr>
                <w:rFonts w:hint="eastAsia" w:ascii="黑体" w:hAnsi="黑体" w:eastAsia="黑体" w:cs="黑体"/>
                <w:color w:val="000000"/>
                <w:sz w:val="24"/>
                <w:szCs w:val="24"/>
              </w:rPr>
            </w:pPr>
            <w:r>
              <w:rPr>
                <w:rFonts w:hint="eastAsia" w:ascii="黑体" w:hAnsi="黑体" w:eastAsia="黑体" w:cs="黑体"/>
                <w:color w:val="000000"/>
                <w:sz w:val="24"/>
                <w:szCs w:val="24"/>
              </w:rPr>
              <w:t>条款名称</w:t>
            </w:r>
          </w:p>
        </w:tc>
        <w:tc>
          <w:tcPr>
            <w:tcW w:w="7070" w:type="dxa"/>
            <w:noWrap w:val="0"/>
            <w:vAlign w:val="center"/>
          </w:tcPr>
          <w:p w14:paraId="60141407">
            <w:pPr>
              <w:keepNext w:val="0"/>
              <w:keepLines w:val="0"/>
              <w:pageBreakBefore w:val="0"/>
              <w:widowControl w:val="0"/>
              <w:kinsoku/>
              <w:wordWrap/>
              <w:overflowPunct/>
              <w:topLinePunct w:val="0"/>
              <w:autoSpaceDE/>
              <w:autoSpaceDN/>
              <w:bidi w:val="0"/>
              <w:adjustRightInd/>
              <w:snapToGrid/>
              <w:spacing w:line="312" w:lineRule="auto"/>
              <w:jc w:val="center"/>
              <w:rPr>
                <w:rFonts w:hint="eastAsia" w:ascii="黑体" w:hAnsi="黑体" w:eastAsia="黑体" w:cs="黑体"/>
                <w:color w:val="000000"/>
                <w:sz w:val="24"/>
                <w:szCs w:val="24"/>
              </w:rPr>
            </w:pPr>
            <w:r>
              <w:rPr>
                <w:rFonts w:hint="eastAsia" w:ascii="黑体" w:hAnsi="黑体" w:eastAsia="黑体" w:cs="黑体"/>
                <w:color w:val="000000"/>
                <w:sz w:val="24"/>
                <w:szCs w:val="24"/>
              </w:rPr>
              <w:t>说  明</w:t>
            </w:r>
          </w:p>
        </w:tc>
      </w:tr>
      <w:tr w14:paraId="1535F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8" w:type="dxa"/>
            <w:noWrap w:val="0"/>
            <w:vAlign w:val="center"/>
          </w:tcPr>
          <w:p w14:paraId="4BC43186">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w:t>
            </w:r>
          </w:p>
        </w:tc>
        <w:tc>
          <w:tcPr>
            <w:tcW w:w="1485" w:type="dxa"/>
            <w:noWrap w:val="0"/>
            <w:vAlign w:val="center"/>
          </w:tcPr>
          <w:p w14:paraId="6285C813">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CN"/>
              </w:rPr>
              <w:t>供货</w:t>
            </w:r>
            <w:r>
              <w:rPr>
                <w:rFonts w:hint="default" w:ascii="Times New Roman" w:hAnsi="Times New Roman" w:eastAsia="仿宋" w:cs="Times New Roman"/>
                <w:color w:val="000000"/>
                <w:sz w:val="24"/>
                <w:szCs w:val="24"/>
              </w:rPr>
              <w:t>期</w:t>
            </w:r>
          </w:p>
        </w:tc>
        <w:tc>
          <w:tcPr>
            <w:tcW w:w="7070" w:type="dxa"/>
            <w:noWrap w:val="0"/>
            <w:vAlign w:val="center"/>
          </w:tcPr>
          <w:p w14:paraId="1FF73791">
            <w:pPr>
              <w:keepNext w:val="0"/>
              <w:keepLines w:val="0"/>
              <w:pageBreakBefore w:val="0"/>
              <w:widowControl w:val="0"/>
              <w:kinsoku/>
              <w:wordWrap/>
              <w:overflowPunct/>
              <w:topLinePunct w:val="0"/>
              <w:autoSpaceDE/>
              <w:autoSpaceDN/>
              <w:bidi w:val="0"/>
              <w:adjustRightInd/>
              <w:snapToGrid/>
              <w:spacing w:line="312" w:lineRule="auto"/>
              <w:jc w:val="left"/>
              <w:rPr>
                <w:rFonts w:hint="eastAsia"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合同签订之日起</w:t>
            </w:r>
            <w:r>
              <w:rPr>
                <w:rFonts w:hint="eastAsia" w:eastAsia="仿宋" w:cs="Times New Roman"/>
                <w:color w:val="000000"/>
                <w:sz w:val="24"/>
                <w:szCs w:val="24"/>
                <w:lang w:val="en-US" w:eastAsia="zh-CN"/>
              </w:rPr>
              <w:t>15</w:t>
            </w:r>
            <w:r>
              <w:rPr>
                <w:rFonts w:hint="default" w:ascii="Times New Roman" w:hAnsi="Times New Roman" w:eastAsia="仿宋" w:cs="Times New Roman"/>
                <w:color w:val="000000"/>
                <w:sz w:val="24"/>
                <w:szCs w:val="24"/>
              </w:rPr>
              <w:t>日天内完成供货、安装调试及验收</w:t>
            </w:r>
            <w:r>
              <w:rPr>
                <w:rFonts w:hint="eastAsia" w:ascii="Times New Roman" w:hAnsi="Times New Roman" w:eastAsia="仿宋" w:cs="Times New Roman"/>
                <w:color w:val="000000"/>
                <w:sz w:val="24"/>
                <w:szCs w:val="24"/>
                <w:lang w:eastAsia="zh-CN"/>
              </w:rPr>
              <w:t>。</w:t>
            </w:r>
          </w:p>
        </w:tc>
      </w:tr>
      <w:tr w14:paraId="094A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98" w:type="dxa"/>
            <w:noWrap w:val="0"/>
            <w:vAlign w:val="center"/>
          </w:tcPr>
          <w:p w14:paraId="1782DA8C">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w:t>
            </w:r>
          </w:p>
        </w:tc>
        <w:tc>
          <w:tcPr>
            <w:tcW w:w="1485" w:type="dxa"/>
            <w:noWrap w:val="0"/>
            <w:vAlign w:val="center"/>
          </w:tcPr>
          <w:p w14:paraId="3FE559A4">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CN"/>
              </w:rPr>
              <w:t>供货</w:t>
            </w:r>
            <w:r>
              <w:rPr>
                <w:rFonts w:hint="default" w:ascii="Times New Roman" w:hAnsi="Times New Roman" w:eastAsia="仿宋" w:cs="Times New Roman"/>
                <w:color w:val="000000"/>
                <w:sz w:val="24"/>
                <w:szCs w:val="24"/>
              </w:rPr>
              <w:t>地点</w:t>
            </w:r>
          </w:p>
        </w:tc>
        <w:tc>
          <w:tcPr>
            <w:tcW w:w="7070" w:type="dxa"/>
            <w:noWrap w:val="0"/>
            <w:vAlign w:val="center"/>
          </w:tcPr>
          <w:p w14:paraId="786D71E7">
            <w:pPr>
              <w:keepNext w:val="0"/>
              <w:keepLines w:val="0"/>
              <w:pageBreakBefore w:val="0"/>
              <w:widowControl w:val="0"/>
              <w:kinsoku/>
              <w:wordWrap/>
              <w:overflowPunct/>
              <w:topLinePunct w:val="0"/>
              <w:autoSpaceDE/>
              <w:autoSpaceDN/>
              <w:bidi w:val="0"/>
              <w:adjustRightInd/>
              <w:snapToGrid/>
              <w:spacing w:line="312" w:lineRule="auto"/>
              <w:jc w:val="left"/>
              <w:rPr>
                <w:rFonts w:hint="eastAsia"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采购人指定的地点</w:t>
            </w:r>
            <w:r>
              <w:rPr>
                <w:rFonts w:hint="eastAsia" w:ascii="Times New Roman" w:hAnsi="Times New Roman" w:eastAsia="仿宋" w:cs="Times New Roman"/>
                <w:color w:val="000000"/>
                <w:sz w:val="24"/>
                <w:szCs w:val="24"/>
                <w:lang w:eastAsia="zh-CN"/>
              </w:rPr>
              <w:t>。</w:t>
            </w:r>
          </w:p>
        </w:tc>
      </w:tr>
      <w:tr w14:paraId="2A65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98" w:type="dxa"/>
            <w:noWrap w:val="0"/>
            <w:vAlign w:val="center"/>
          </w:tcPr>
          <w:p w14:paraId="4BB9F916">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3</w:t>
            </w:r>
          </w:p>
        </w:tc>
        <w:tc>
          <w:tcPr>
            <w:tcW w:w="1485" w:type="dxa"/>
            <w:noWrap w:val="0"/>
            <w:vAlign w:val="center"/>
          </w:tcPr>
          <w:p w14:paraId="21689498">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质保期</w:t>
            </w:r>
          </w:p>
        </w:tc>
        <w:tc>
          <w:tcPr>
            <w:tcW w:w="7070" w:type="dxa"/>
            <w:noWrap w:val="0"/>
            <w:vAlign w:val="center"/>
          </w:tcPr>
          <w:p w14:paraId="13048DB5">
            <w:pPr>
              <w:keepNext w:val="0"/>
              <w:keepLines w:val="0"/>
              <w:pageBreakBefore w:val="0"/>
              <w:widowControl w:val="0"/>
              <w:kinsoku/>
              <w:wordWrap/>
              <w:overflowPunct/>
              <w:topLinePunct w:val="0"/>
              <w:autoSpaceDE/>
              <w:autoSpaceDN/>
              <w:bidi w:val="0"/>
              <w:adjustRightInd/>
              <w:snapToGrid/>
              <w:spacing w:line="312" w:lineRule="auto"/>
              <w:jc w:val="left"/>
              <w:rPr>
                <w:rFonts w:hint="eastAsia"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项目验收合格之日起</w:t>
            </w:r>
            <w:r>
              <w:rPr>
                <w:rFonts w:hint="eastAsia" w:eastAsia="仿宋" w:cs="Times New Roman"/>
                <w:color w:val="000000"/>
                <w:sz w:val="24"/>
                <w:szCs w:val="24"/>
                <w:lang w:eastAsia="zh-CN"/>
              </w:rPr>
              <w:t>两</w:t>
            </w:r>
            <w:r>
              <w:rPr>
                <w:rFonts w:hint="default" w:ascii="Times New Roman" w:hAnsi="Times New Roman" w:eastAsia="仿宋" w:cs="Times New Roman"/>
                <w:color w:val="000000"/>
                <w:sz w:val="24"/>
                <w:szCs w:val="24"/>
              </w:rPr>
              <w:t>年</w:t>
            </w:r>
            <w:r>
              <w:rPr>
                <w:rFonts w:hint="eastAsia" w:ascii="Times New Roman" w:hAnsi="Times New Roman" w:eastAsia="仿宋" w:cs="Times New Roman"/>
                <w:color w:val="000000"/>
                <w:sz w:val="24"/>
                <w:szCs w:val="24"/>
                <w:lang w:eastAsia="zh-CN"/>
              </w:rPr>
              <w:t>。</w:t>
            </w:r>
          </w:p>
        </w:tc>
      </w:tr>
      <w:tr w14:paraId="266E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jc w:val="center"/>
        </w:trPr>
        <w:tc>
          <w:tcPr>
            <w:tcW w:w="698" w:type="dxa"/>
            <w:noWrap w:val="0"/>
            <w:vAlign w:val="center"/>
          </w:tcPr>
          <w:p w14:paraId="55BBEC4B">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4</w:t>
            </w:r>
          </w:p>
        </w:tc>
        <w:tc>
          <w:tcPr>
            <w:tcW w:w="1485" w:type="dxa"/>
            <w:noWrap w:val="0"/>
            <w:vAlign w:val="center"/>
          </w:tcPr>
          <w:p w14:paraId="3AC24498">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售后服务</w:t>
            </w:r>
          </w:p>
        </w:tc>
        <w:tc>
          <w:tcPr>
            <w:tcW w:w="7070" w:type="dxa"/>
            <w:noWrap w:val="0"/>
            <w:vAlign w:val="center"/>
          </w:tcPr>
          <w:p w14:paraId="75615B65">
            <w:pPr>
              <w:keepNext w:val="0"/>
              <w:keepLines w:val="0"/>
              <w:pageBreakBefore w:val="0"/>
              <w:widowControl w:val="0"/>
              <w:kinsoku/>
              <w:wordWrap/>
              <w:overflowPunct/>
              <w:topLinePunct w:val="0"/>
              <w:autoSpaceDE/>
              <w:autoSpaceDN/>
              <w:bidi w:val="0"/>
              <w:adjustRightInd/>
              <w:snapToGrid/>
              <w:spacing w:line="312" w:lineRule="auto"/>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1.</w:t>
            </w:r>
            <w:r>
              <w:rPr>
                <w:rFonts w:hint="default" w:ascii="Times New Roman" w:hAnsi="Times New Roman" w:eastAsia="仿宋" w:cs="Times New Roman"/>
                <w:color w:val="000000"/>
                <w:sz w:val="24"/>
                <w:szCs w:val="24"/>
              </w:rPr>
              <w:t>对用户提供培训服务</w:t>
            </w:r>
            <w:r>
              <w:rPr>
                <w:rFonts w:hint="eastAsia" w:ascii="Times New Roman" w:hAnsi="Times New Roman" w:eastAsia="仿宋" w:cs="Times New Roman"/>
                <w:color w:val="000000"/>
                <w:sz w:val="24"/>
                <w:szCs w:val="24"/>
                <w:lang w:eastAsia="zh-CN"/>
              </w:rPr>
              <w:t>，</w:t>
            </w:r>
            <w:r>
              <w:rPr>
                <w:rFonts w:hint="eastAsia" w:ascii="Times New Roman" w:hAnsi="Times New Roman" w:eastAsia="仿宋" w:cs="Times New Roman"/>
                <w:color w:val="000000"/>
                <w:sz w:val="24"/>
                <w:szCs w:val="24"/>
                <w:lang w:val="en-US" w:eastAsia="zh-CN"/>
              </w:rPr>
              <w:t>供应商</w:t>
            </w:r>
            <w:r>
              <w:rPr>
                <w:rFonts w:hint="default" w:ascii="Times New Roman" w:hAnsi="Times New Roman" w:eastAsia="仿宋" w:cs="Times New Roman"/>
                <w:color w:val="auto"/>
                <w:sz w:val="24"/>
                <w:szCs w:val="24"/>
              </w:rPr>
              <w:t>应长期</w:t>
            </w:r>
            <w:r>
              <w:rPr>
                <w:rFonts w:hint="eastAsia" w:ascii="Times New Roman" w:hAnsi="Times New Roman" w:eastAsia="仿宋" w:cs="Times New Roman"/>
                <w:color w:val="auto"/>
                <w:sz w:val="24"/>
                <w:szCs w:val="24"/>
                <w:lang w:eastAsia="zh-CN"/>
              </w:rPr>
              <w:t>提供</w:t>
            </w:r>
            <w:r>
              <w:rPr>
                <w:rFonts w:hint="eastAsia" w:ascii="Times New Roman" w:hAnsi="Times New Roman" w:eastAsia="仿宋" w:cs="Times New Roman"/>
                <w:color w:val="000000"/>
                <w:sz w:val="24"/>
                <w:szCs w:val="24"/>
                <w:lang w:eastAsia="zh-CN"/>
              </w:rPr>
              <w:t>有效技术指导</w:t>
            </w:r>
            <w:r>
              <w:rPr>
                <w:rFonts w:hint="eastAsia" w:ascii="Times New Roman" w:hAnsi="Times New Roman" w:eastAsia="仿宋" w:cs="Times New Roman"/>
                <w:color w:val="000000"/>
                <w:sz w:val="24"/>
                <w:szCs w:val="24"/>
                <w:lang w:val="en-US" w:eastAsia="zh-CN"/>
              </w:rPr>
              <w:t>，每年至少提供一次上门技术培训。</w:t>
            </w:r>
          </w:p>
          <w:p w14:paraId="2919E6BB">
            <w:pPr>
              <w:keepNext w:val="0"/>
              <w:keepLines w:val="0"/>
              <w:pageBreakBefore w:val="0"/>
              <w:widowControl w:val="0"/>
              <w:kinsoku/>
              <w:wordWrap/>
              <w:overflowPunct/>
              <w:topLinePunct w:val="0"/>
              <w:autoSpaceDE/>
              <w:autoSpaceDN/>
              <w:bidi w:val="0"/>
              <w:adjustRightInd/>
              <w:snapToGrid/>
              <w:spacing w:line="312" w:lineRule="auto"/>
              <w:rPr>
                <w:rFonts w:hint="eastAsia" w:ascii="Times New Roman" w:hAnsi="Times New Roman" w:eastAsia="仿宋" w:cs="Times New Roman"/>
                <w:color w:val="000000"/>
                <w:sz w:val="24"/>
                <w:szCs w:val="24"/>
                <w:lang w:eastAsia="zh-CN"/>
              </w:rPr>
            </w:pPr>
            <w:r>
              <w:rPr>
                <w:rFonts w:hint="eastAsia" w:ascii="Times New Roman" w:hAnsi="Times New Roman" w:eastAsia="仿宋" w:cs="Times New Roman"/>
                <w:color w:val="000000"/>
                <w:sz w:val="24"/>
                <w:szCs w:val="24"/>
                <w:lang w:val="en-US" w:eastAsia="zh-CN"/>
              </w:rPr>
              <w:t>2.</w:t>
            </w:r>
            <w:r>
              <w:rPr>
                <w:rFonts w:hint="default" w:ascii="Times New Roman" w:hAnsi="Times New Roman" w:eastAsia="仿宋" w:cs="Times New Roman"/>
                <w:color w:val="000000"/>
                <w:sz w:val="24"/>
                <w:szCs w:val="24"/>
                <w:lang w:val="en-US" w:eastAsia="zh-CN"/>
              </w:rPr>
              <w:t>质保服务方式均为</w:t>
            </w:r>
            <w:r>
              <w:rPr>
                <w:rFonts w:hint="eastAsia" w:ascii="Times New Roman" w:hAnsi="Times New Roman" w:eastAsia="仿宋" w:cs="Times New Roman"/>
                <w:color w:val="000000"/>
                <w:sz w:val="24"/>
                <w:szCs w:val="24"/>
                <w:lang w:val="en-US" w:eastAsia="zh-CN"/>
              </w:rPr>
              <w:t>供应商</w:t>
            </w:r>
            <w:r>
              <w:rPr>
                <w:rFonts w:hint="default" w:ascii="Times New Roman" w:hAnsi="Times New Roman" w:eastAsia="仿宋" w:cs="Times New Roman"/>
                <w:color w:val="000000"/>
                <w:sz w:val="24"/>
                <w:szCs w:val="24"/>
                <w:lang w:val="en-US" w:eastAsia="zh-CN"/>
              </w:rPr>
              <w:t>上门服务。非采购人的人为原因而出现产品质量及安装问题，由</w:t>
            </w:r>
            <w:r>
              <w:rPr>
                <w:rFonts w:hint="eastAsia" w:ascii="Times New Roman" w:hAnsi="Times New Roman" w:eastAsia="仿宋" w:cs="Times New Roman"/>
                <w:color w:val="000000"/>
                <w:sz w:val="24"/>
                <w:szCs w:val="24"/>
                <w:lang w:val="en-US" w:eastAsia="zh-CN"/>
              </w:rPr>
              <w:t>供应商</w:t>
            </w:r>
            <w:r>
              <w:rPr>
                <w:rFonts w:hint="default" w:ascii="Times New Roman" w:hAnsi="Times New Roman" w:eastAsia="仿宋" w:cs="Times New Roman"/>
                <w:color w:val="000000"/>
                <w:sz w:val="24"/>
                <w:szCs w:val="24"/>
                <w:lang w:val="en-US" w:eastAsia="zh-CN"/>
              </w:rPr>
              <w:t>负责包修、包换或包退</w:t>
            </w:r>
            <w:r>
              <w:rPr>
                <w:rFonts w:hint="eastAsia"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lang w:val="en-US" w:eastAsia="zh-CN"/>
              </w:rPr>
              <w:t>承担上述情况产生的一切费用</w:t>
            </w:r>
            <w:r>
              <w:rPr>
                <w:rFonts w:hint="eastAsia"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lang w:val="en-US" w:eastAsia="zh-CN"/>
              </w:rPr>
              <w:t>并</w:t>
            </w:r>
            <w:r>
              <w:rPr>
                <w:rFonts w:hint="default" w:ascii="Times New Roman" w:hAnsi="Times New Roman" w:eastAsia="仿宋" w:cs="Times New Roman"/>
                <w:color w:val="000000"/>
                <w:sz w:val="24"/>
                <w:szCs w:val="24"/>
              </w:rPr>
              <w:t>承诺在24小时内或紧急情况下，未能妥善处理，提供具有同样功能的货品供使用单位使用</w:t>
            </w:r>
            <w:r>
              <w:rPr>
                <w:rFonts w:hint="eastAsia" w:ascii="Times New Roman" w:hAnsi="Times New Roman" w:eastAsia="仿宋" w:cs="Times New Roman"/>
                <w:color w:val="000000"/>
                <w:sz w:val="24"/>
                <w:szCs w:val="24"/>
                <w:lang w:eastAsia="zh-CN"/>
              </w:rPr>
              <w:t>。</w:t>
            </w:r>
          </w:p>
          <w:p w14:paraId="33266C36">
            <w:pPr>
              <w:keepNext w:val="0"/>
              <w:keepLines w:val="0"/>
              <w:pageBreakBefore w:val="0"/>
              <w:widowControl w:val="0"/>
              <w:kinsoku/>
              <w:wordWrap/>
              <w:overflowPunct/>
              <w:topLinePunct w:val="0"/>
              <w:autoSpaceDE/>
              <w:autoSpaceDN/>
              <w:bidi w:val="0"/>
              <w:adjustRightInd/>
              <w:snapToGrid/>
              <w:spacing w:line="312" w:lineRule="auto"/>
              <w:jc w:val="left"/>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000000"/>
                <w:sz w:val="24"/>
                <w:szCs w:val="24"/>
                <w:lang w:val="en-US" w:eastAsia="zh-CN"/>
              </w:rPr>
              <w:t>3.</w:t>
            </w:r>
            <w:r>
              <w:rPr>
                <w:rFonts w:hint="default" w:ascii="Times New Roman" w:hAnsi="Times New Roman" w:eastAsia="仿宋" w:cs="Times New Roman"/>
                <w:color w:val="auto"/>
                <w:sz w:val="24"/>
                <w:szCs w:val="24"/>
              </w:rPr>
              <w:t>质保期后如果采购人要求，</w:t>
            </w:r>
            <w:r>
              <w:rPr>
                <w:rFonts w:hint="eastAsia" w:ascii="Times New Roman" w:hAnsi="Times New Roman" w:eastAsia="仿宋" w:cs="Times New Roman"/>
                <w:color w:val="000000"/>
                <w:sz w:val="24"/>
                <w:szCs w:val="24"/>
                <w:lang w:val="en-US" w:eastAsia="zh-CN"/>
              </w:rPr>
              <w:t>供应商</w:t>
            </w:r>
            <w:r>
              <w:rPr>
                <w:rFonts w:hint="default" w:ascii="Times New Roman" w:hAnsi="Times New Roman" w:eastAsia="仿宋" w:cs="Times New Roman"/>
                <w:color w:val="auto"/>
                <w:sz w:val="24"/>
                <w:szCs w:val="24"/>
              </w:rPr>
              <w:t>应长期负责有偿优惠维修</w:t>
            </w:r>
            <w:r>
              <w:rPr>
                <w:rFonts w:hint="eastAsia" w:ascii="Times New Roman" w:hAnsi="Times New Roman" w:eastAsia="仿宋" w:cs="Times New Roman"/>
                <w:color w:val="auto"/>
                <w:sz w:val="24"/>
                <w:szCs w:val="24"/>
                <w:lang w:eastAsia="zh-CN"/>
              </w:rPr>
              <w:t>。</w:t>
            </w:r>
          </w:p>
          <w:p w14:paraId="3ED13E45">
            <w:pPr>
              <w:keepNext w:val="0"/>
              <w:keepLines w:val="0"/>
              <w:pageBreakBefore w:val="0"/>
              <w:widowControl w:val="0"/>
              <w:kinsoku/>
              <w:wordWrap/>
              <w:overflowPunct/>
              <w:topLinePunct w:val="0"/>
              <w:autoSpaceDE/>
              <w:autoSpaceDN/>
              <w:bidi w:val="0"/>
              <w:adjustRightInd/>
              <w:snapToGrid/>
              <w:spacing w:line="312" w:lineRule="auto"/>
              <w:jc w:val="left"/>
              <w:rPr>
                <w:rFonts w:hint="eastAsia" w:eastAsia="仿宋" w:cs="Times New Roman"/>
                <w:color w:val="auto"/>
                <w:sz w:val="24"/>
                <w:szCs w:val="24"/>
                <w:lang w:val="en-US" w:eastAsia="zh-CN"/>
              </w:rPr>
            </w:pPr>
            <w:r>
              <w:rPr>
                <w:rFonts w:hint="eastAsia" w:eastAsia="仿宋" w:cs="Times New Roman"/>
                <w:color w:val="auto"/>
                <w:sz w:val="24"/>
                <w:szCs w:val="24"/>
                <w:lang w:val="en-US" w:eastAsia="zh-CN"/>
              </w:rPr>
              <w:t>4.供应商提供珠三角地区100公里范围内场地施工车载供水系统。</w:t>
            </w:r>
          </w:p>
          <w:p w14:paraId="3314CE3B">
            <w:pPr>
              <w:keepNext w:val="0"/>
              <w:keepLines w:val="0"/>
              <w:pageBreakBefore w:val="0"/>
              <w:widowControl w:val="0"/>
              <w:kinsoku/>
              <w:wordWrap/>
              <w:overflowPunct/>
              <w:topLinePunct w:val="0"/>
              <w:autoSpaceDE/>
              <w:autoSpaceDN/>
              <w:bidi w:val="0"/>
              <w:adjustRightInd/>
              <w:snapToGrid/>
              <w:spacing w:line="312" w:lineRule="auto"/>
              <w:jc w:val="left"/>
              <w:rPr>
                <w:rFonts w:hint="default" w:eastAsia="仿宋" w:cs="Times New Roman"/>
                <w:color w:val="auto"/>
                <w:sz w:val="24"/>
                <w:szCs w:val="24"/>
                <w:lang w:val="en-US" w:eastAsia="zh-CN"/>
              </w:rPr>
            </w:pPr>
            <w:r>
              <w:rPr>
                <w:rFonts w:hint="eastAsia" w:eastAsia="仿宋" w:cs="Times New Roman"/>
                <w:color w:val="auto"/>
                <w:sz w:val="24"/>
                <w:szCs w:val="24"/>
                <w:lang w:val="en-US" w:eastAsia="zh-CN"/>
              </w:rPr>
              <w:t>5.车载供水系统施工期间，供应商厂内应准备至少两台远程高压供水消防泵（流量≥160L/min,最大工作压力≥9MPa)作为甲方应对突发火灾调用，直至车载供水系统完成交付。</w:t>
            </w:r>
          </w:p>
        </w:tc>
      </w:tr>
      <w:tr w14:paraId="18F7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noWrap w:val="0"/>
            <w:vAlign w:val="center"/>
          </w:tcPr>
          <w:p w14:paraId="51FDFF7B">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val="en-US" w:eastAsia="zh-CN"/>
              </w:rPr>
              <w:t>5</w:t>
            </w:r>
          </w:p>
        </w:tc>
        <w:tc>
          <w:tcPr>
            <w:tcW w:w="1485" w:type="dxa"/>
            <w:noWrap w:val="0"/>
            <w:vAlign w:val="center"/>
          </w:tcPr>
          <w:p w14:paraId="7DD36B39">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付款方式</w:t>
            </w:r>
          </w:p>
        </w:tc>
        <w:tc>
          <w:tcPr>
            <w:tcW w:w="7070" w:type="dxa"/>
            <w:noWrap w:val="0"/>
            <w:vAlign w:val="center"/>
          </w:tcPr>
          <w:p w14:paraId="4DD2AD53">
            <w:pPr>
              <w:keepNext w:val="0"/>
              <w:keepLines w:val="0"/>
              <w:pageBreakBefore w:val="0"/>
              <w:widowControl w:val="0"/>
              <w:kinsoku/>
              <w:wordWrap/>
              <w:overflowPunct/>
              <w:topLinePunct w:val="0"/>
              <w:autoSpaceDE/>
              <w:autoSpaceDN/>
              <w:bidi w:val="0"/>
              <w:adjustRightInd/>
              <w:snapToGrid/>
              <w:spacing w:line="312" w:lineRule="auto"/>
              <w:rPr>
                <w:rFonts w:hint="eastAsia"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rPr>
              <w:t>所有</w:t>
            </w:r>
            <w:r>
              <w:rPr>
                <w:rFonts w:hint="default" w:ascii="Times New Roman" w:hAnsi="Times New Roman" w:eastAsia="仿宋" w:cs="Times New Roman"/>
                <w:color w:val="000000"/>
                <w:sz w:val="24"/>
                <w:szCs w:val="24"/>
                <w:lang w:val="en-US" w:eastAsia="zh-CN"/>
              </w:rPr>
              <w:t>货物</w:t>
            </w:r>
            <w:r>
              <w:rPr>
                <w:rFonts w:hint="default" w:ascii="Times New Roman" w:hAnsi="Times New Roman" w:eastAsia="仿宋" w:cs="Times New Roman"/>
                <w:color w:val="000000"/>
                <w:sz w:val="24"/>
                <w:szCs w:val="24"/>
              </w:rPr>
              <w:t>到达采购人指定地方，并经采购人验收合格</w:t>
            </w:r>
            <w:r>
              <w:rPr>
                <w:rFonts w:hint="eastAsia" w:ascii="Times New Roman" w:hAnsi="Times New Roman" w:eastAsia="仿宋" w:cs="Times New Roman"/>
                <w:color w:val="000000"/>
                <w:sz w:val="24"/>
                <w:szCs w:val="24"/>
                <w:lang w:eastAsia="zh-CN"/>
              </w:rPr>
              <w:t>后，</w:t>
            </w:r>
            <w:r>
              <w:rPr>
                <w:rFonts w:hint="default" w:ascii="Times New Roman" w:hAnsi="Times New Roman" w:eastAsia="仿宋" w:cs="Times New Roman"/>
                <w:color w:val="000000"/>
                <w:sz w:val="24"/>
                <w:szCs w:val="24"/>
              </w:rPr>
              <w:t>支付合同总金额的</w:t>
            </w:r>
            <w:r>
              <w:rPr>
                <w:rFonts w:hint="default" w:ascii="Times New Roman" w:hAnsi="Times New Roman" w:eastAsia="仿宋" w:cs="Times New Roman"/>
                <w:color w:val="000000"/>
                <w:sz w:val="24"/>
                <w:szCs w:val="24"/>
                <w:lang w:val="en-US" w:eastAsia="zh-CN"/>
              </w:rPr>
              <w:t>100</w:t>
            </w:r>
            <w:r>
              <w:rPr>
                <w:rFonts w:hint="default" w:ascii="Times New Roman" w:hAnsi="Times New Roman" w:eastAsia="仿宋" w:cs="Times New Roman"/>
                <w:color w:val="000000"/>
                <w:sz w:val="24"/>
                <w:szCs w:val="24"/>
              </w:rPr>
              <w:t>%</w:t>
            </w:r>
            <w:r>
              <w:rPr>
                <w:rFonts w:hint="eastAsia" w:ascii="Times New Roman" w:hAnsi="Times New Roman" w:eastAsia="仿宋" w:cs="Times New Roman"/>
                <w:color w:val="000000"/>
                <w:sz w:val="24"/>
                <w:szCs w:val="24"/>
                <w:lang w:eastAsia="zh-CN"/>
              </w:rPr>
              <w:t>。</w:t>
            </w:r>
          </w:p>
        </w:tc>
      </w:tr>
      <w:tr w14:paraId="4057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698" w:type="dxa"/>
            <w:noWrap w:val="0"/>
            <w:vAlign w:val="center"/>
          </w:tcPr>
          <w:p w14:paraId="2CF83DA8">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val="en-US" w:eastAsia="zh-CN"/>
              </w:rPr>
              <w:t>6</w:t>
            </w:r>
          </w:p>
        </w:tc>
        <w:tc>
          <w:tcPr>
            <w:tcW w:w="1485" w:type="dxa"/>
            <w:noWrap w:val="0"/>
            <w:vAlign w:val="center"/>
          </w:tcPr>
          <w:p w14:paraId="564415F2">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报价内容</w:t>
            </w:r>
          </w:p>
        </w:tc>
        <w:tc>
          <w:tcPr>
            <w:tcW w:w="7070" w:type="dxa"/>
            <w:noWrap w:val="0"/>
            <w:vAlign w:val="center"/>
          </w:tcPr>
          <w:p w14:paraId="3ADEF3C6">
            <w:pPr>
              <w:keepNext w:val="0"/>
              <w:keepLines w:val="0"/>
              <w:pageBreakBefore w:val="0"/>
              <w:widowControl w:val="0"/>
              <w:kinsoku/>
              <w:wordWrap/>
              <w:overflowPunct/>
              <w:topLinePunct w:val="0"/>
              <w:autoSpaceDE/>
              <w:autoSpaceDN/>
              <w:bidi w:val="0"/>
              <w:adjustRightInd/>
              <w:snapToGrid/>
              <w:spacing w:line="312" w:lineRule="auto"/>
              <w:jc w:val="left"/>
              <w:rPr>
                <w:rFonts w:hint="default"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lang w:val="en-US" w:eastAsia="zh-CN"/>
              </w:rPr>
              <w:t>1.</w:t>
            </w:r>
            <w:r>
              <w:rPr>
                <w:rFonts w:hint="default" w:ascii="Times New Roman" w:hAnsi="Times New Roman" w:eastAsia="仿宋" w:cs="Times New Roman"/>
                <w:color w:val="000000"/>
                <w:sz w:val="24"/>
                <w:szCs w:val="24"/>
              </w:rPr>
              <w:t>报价应包含货物及所需附件的购置费、包装费、运输费、安装调试费、人工费、保险费、各种税费、验收费、售后服务费及合同实施过程中的应预见和不可预见费用等完成合同规定责任和义务、达到合同目的的一切费用。</w:t>
            </w:r>
          </w:p>
          <w:p w14:paraId="633C1C02">
            <w:pPr>
              <w:keepNext w:val="0"/>
              <w:keepLines w:val="0"/>
              <w:pageBreakBefore w:val="0"/>
              <w:widowControl w:val="0"/>
              <w:kinsoku/>
              <w:wordWrap/>
              <w:overflowPunct/>
              <w:topLinePunct w:val="0"/>
              <w:autoSpaceDE/>
              <w:autoSpaceDN/>
              <w:bidi w:val="0"/>
              <w:adjustRightInd/>
              <w:snapToGrid/>
              <w:spacing w:line="312" w:lineRule="auto"/>
              <w:jc w:val="left"/>
              <w:rPr>
                <w:rFonts w:hint="eastAsia" w:ascii="Times New Roman" w:hAnsi="Times New Roman" w:eastAsia="仿宋" w:cs="Times New Roman"/>
                <w:color w:val="000000"/>
                <w:sz w:val="24"/>
                <w:szCs w:val="24"/>
                <w:lang w:eastAsia="zh-CN"/>
              </w:rPr>
            </w:pPr>
            <w:r>
              <w:rPr>
                <w:rFonts w:hint="eastAsia" w:ascii="Times New Roman" w:hAnsi="Times New Roman" w:eastAsia="仿宋" w:cs="Times New Roman"/>
                <w:color w:val="000000"/>
                <w:sz w:val="24"/>
                <w:szCs w:val="24"/>
                <w:lang w:val="en-US" w:eastAsia="zh-CN"/>
              </w:rPr>
              <w:t>2.</w:t>
            </w:r>
            <w:r>
              <w:rPr>
                <w:rFonts w:hint="default" w:ascii="Times New Roman" w:hAnsi="Times New Roman" w:eastAsia="仿宋" w:cs="Times New Roman"/>
                <w:color w:val="000000"/>
                <w:sz w:val="24"/>
                <w:szCs w:val="24"/>
              </w:rPr>
              <w:t>报价应包括所有应支付的对专利权和版权、设计或其他知识产权而需要向其他方支付的版税</w:t>
            </w:r>
            <w:r>
              <w:rPr>
                <w:rFonts w:hint="eastAsia" w:ascii="Times New Roman" w:hAnsi="Times New Roman" w:eastAsia="仿宋" w:cs="Times New Roman"/>
                <w:color w:val="000000"/>
                <w:sz w:val="24"/>
                <w:szCs w:val="24"/>
                <w:lang w:eastAsia="zh-CN"/>
              </w:rPr>
              <w:t>。</w:t>
            </w:r>
          </w:p>
        </w:tc>
      </w:tr>
      <w:tr w14:paraId="1F3D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8" w:type="dxa"/>
            <w:noWrap w:val="0"/>
            <w:vAlign w:val="center"/>
          </w:tcPr>
          <w:p w14:paraId="40D16C53">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val="en-US" w:eastAsia="zh-CN"/>
              </w:rPr>
              <w:t>7</w:t>
            </w:r>
          </w:p>
        </w:tc>
        <w:tc>
          <w:tcPr>
            <w:tcW w:w="1485" w:type="dxa"/>
            <w:noWrap w:val="0"/>
            <w:vAlign w:val="center"/>
          </w:tcPr>
          <w:p w14:paraId="1BE0E2AA">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合同条款</w:t>
            </w:r>
          </w:p>
        </w:tc>
        <w:tc>
          <w:tcPr>
            <w:tcW w:w="7070" w:type="dxa"/>
            <w:noWrap w:val="0"/>
            <w:vAlign w:val="center"/>
          </w:tcPr>
          <w:p w14:paraId="29724976">
            <w:pPr>
              <w:keepNext w:val="0"/>
              <w:keepLines w:val="0"/>
              <w:pageBreakBefore w:val="0"/>
              <w:widowControl w:val="0"/>
              <w:kinsoku/>
              <w:wordWrap/>
              <w:overflowPunct/>
              <w:topLinePunct w:val="0"/>
              <w:autoSpaceDE/>
              <w:autoSpaceDN/>
              <w:bidi w:val="0"/>
              <w:adjustRightInd/>
              <w:snapToGrid/>
              <w:spacing w:line="312" w:lineRule="auto"/>
              <w:rPr>
                <w:rFonts w:hint="eastAsia"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供应商实质响应合同条款</w:t>
            </w:r>
            <w:r>
              <w:rPr>
                <w:rFonts w:hint="eastAsia" w:ascii="Times New Roman" w:hAnsi="Times New Roman" w:eastAsia="仿宋" w:cs="Times New Roman"/>
                <w:color w:val="000000"/>
                <w:sz w:val="24"/>
                <w:szCs w:val="24"/>
                <w:lang w:eastAsia="zh-CN"/>
              </w:rPr>
              <w:t>。</w:t>
            </w:r>
          </w:p>
        </w:tc>
      </w:tr>
      <w:bookmarkEnd w:id="0"/>
    </w:tbl>
    <w:p w14:paraId="54FC01DA">
      <w:pPr>
        <w:pStyle w:val="2"/>
        <w:pageBreakBefore w:val="0"/>
        <w:widowControl w:val="0"/>
        <w:kinsoku/>
        <w:wordWrap/>
        <w:overflowPunct/>
        <w:topLinePunct w:val="0"/>
        <w:autoSpaceDE/>
        <w:autoSpaceDN/>
        <w:bidi w:val="0"/>
        <w:adjustRightInd/>
        <w:snapToGrid/>
        <w:spacing w:line="575" w:lineRule="exact"/>
        <w:ind w:firstLine="640" w:firstLineChars="200"/>
        <w:jc w:val="both"/>
        <w:rPr>
          <w:rFonts w:hint="eastAsia" w:ascii="黑体" w:hAnsi="黑体" w:eastAsia="黑体" w:cs="黑体"/>
          <w:b w:val="0"/>
          <w:bCs w:val="0"/>
          <w:sz w:val="32"/>
          <w:szCs w:val="32"/>
        </w:rPr>
      </w:pPr>
      <w:bookmarkStart w:id="1" w:name="_Toc1501"/>
      <w:bookmarkEnd w:id="1"/>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对采购装备、物资的有关</w:t>
      </w:r>
      <w:r>
        <w:rPr>
          <w:rFonts w:hint="eastAsia" w:ascii="黑体" w:hAnsi="黑体" w:eastAsia="黑体" w:cs="黑体"/>
          <w:b w:val="0"/>
          <w:bCs w:val="0"/>
          <w:sz w:val="32"/>
          <w:szCs w:val="32"/>
        </w:rPr>
        <w:t>要求</w:t>
      </w:r>
    </w:p>
    <w:p w14:paraId="74FB2F0D">
      <w:pPr>
        <w:pageBreakBefore w:val="0"/>
        <w:widowControl w:val="0"/>
        <w:kinsoku/>
        <w:wordWrap/>
        <w:overflowPunct/>
        <w:topLinePunct w:val="0"/>
        <w:autoSpaceDE/>
        <w:autoSpaceDN/>
        <w:bidi w:val="0"/>
        <w:adjustRightInd/>
        <w:snapToGrid/>
        <w:spacing w:line="575" w:lineRule="exact"/>
        <w:ind w:firstLine="640" w:firstLineChars="200"/>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）总体要求</w:t>
      </w:r>
    </w:p>
    <w:p w14:paraId="19AD8E5F">
      <w:pPr>
        <w:pageBreakBefore w:val="0"/>
        <w:widowControl w:val="0"/>
        <w:kinsoku/>
        <w:wordWrap/>
        <w:overflowPunct/>
        <w:topLinePunct w:val="0"/>
        <w:autoSpaceDE/>
        <w:autoSpaceDN/>
        <w:bidi w:val="0"/>
        <w:adjustRightInd/>
        <w:snapToGrid/>
        <w:spacing w:line="575"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供应商所投货物必须是原装、全新的产品，符合国家以及该产品的出厂标准</w:t>
      </w:r>
      <w:r>
        <w:rPr>
          <w:rFonts w:hint="eastAsia" w:ascii="Times New Roman" w:hAnsi="Times New Roman" w:eastAsia="仿宋" w:cs="Times New Roman"/>
          <w:sz w:val="32"/>
          <w:szCs w:val="32"/>
          <w:lang w:eastAsia="zh-CN"/>
        </w:rPr>
        <w:t>。</w:t>
      </w:r>
    </w:p>
    <w:p w14:paraId="0F84F349">
      <w:pPr>
        <w:pageBreakBefore w:val="0"/>
        <w:widowControl w:val="0"/>
        <w:kinsoku/>
        <w:wordWrap/>
        <w:overflowPunct/>
        <w:topLinePunct w:val="0"/>
        <w:autoSpaceDE/>
        <w:autoSpaceDN/>
        <w:bidi w:val="0"/>
        <w:adjustRightInd/>
        <w:snapToGrid/>
        <w:spacing w:line="575"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供应商所投货物必须使用环保材料并符合国家环保要求及标准</w:t>
      </w:r>
      <w:r>
        <w:rPr>
          <w:rFonts w:hint="eastAsia" w:ascii="Times New Roman" w:hAnsi="Times New Roman" w:eastAsia="仿宋" w:cs="Times New Roman"/>
          <w:sz w:val="32"/>
          <w:szCs w:val="32"/>
          <w:lang w:eastAsia="zh-CN"/>
        </w:rPr>
        <w:t>。</w:t>
      </w:r>
    </w:p>
    <w:p w14:paraId="31A142F7">
      <w:pPr>
        <w:pageBreakBefore w:val="0"/>
        <w:widowControl w:val="0"/>
        <w:kinsoku/>
        <w:wordWrap/>
        <w:overflowPunct/>
        <w:topLinePunct w:val="0"/>
        <w:autoSpaceDE/>
        <w:autoSpaceDN/>
        <w:bidi w:val="0"/>
        <w:adjustRightInd/>
        <w:snapToGrid/>
        <w:spacing w:line="575"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供应商应保证仪器设备在不需要增配未列出配件（特别指出的除外）的前提下货物功能、技术标准能够达到采购文件的要求，而无须再增配未列出的配件；如供应商所提供的产品需要增配配件才能达到要求的，所增配的配件须由供应商提供并承担由此产生的所有费用</w:t>
      </w:r>
      <w:r>
        <w:rPr>
          <w:rFonts w:hint="eastAsia" w:ascii="Times New Roman" w:hAnsi="Times New Roman" w:eastAsia="仿宋" w:cs="Times New Roman"/>
          <w:sz w:val="32"/>
          <w:szCs w:val="32"/>
          <w:lang w:eastAsia="zh-CN"/>
        </w:rPr>
        <w:t>。</w:t>
      </w:r>
    </w:p>
    <w:p w14:paraId="6317D2E3">
      <w:pPr>
        <w:pageBreakBefore w:val="0"/>
        <w:widowControl w:val="0"/>
        <w:kinsoku/>
        <w:wordWrap/>
        <w:overflowPunct/>
        <w:topLinePunct w:val="0"/>
        <w:autoSpaceDE/>
        <w:autoSpaceDN/>
        <w:bidi w:val="0"/>
        <w:adjustRightInd/>
        <w:snapToGrid/>
        <w:spacing w:line="575"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货物在验收合格前的保险由成交供应商负责，且成交供应商负责其派出的现场服务人员人身意外保险</w:t>
      </w:r>
      <w:r>
        <w:rPr>
          <w:rFonts w:hint="eastAsia" w:ascii="Times New Roman" w:hAnsi="Times New Roman" w:eastAsia="仿宋" w:cs="Times New Roman"/>
          <w:sz w:val="32"/>
          <w:szCs w:val="32"/>
          <w:lang w:eastAsia="zh-CN"/>
        </w:rPr>
        <w:t>。</w:t>
      </w:r>
    </w:p>
    <w:p w14:paraId="7E05DFF6">
      <w:pPr>
        <w:pageBreakBefore w:val="0"/>
        <w:widowControl w:val="0"/>
        <w:kinsoku/>
        <w:wordWrap/>
        <w:overflowPunct/>
        <w:topLinePunct w:val="0"/>
        <w:autoSpaceDE/>
        <w:autoSpaceDN/>
        <w:bidi w:val="0"/>
        <w:adjustRightInd/>
        <w:snapToGrid/>
        <w:spacing w:line="575"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5</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安装调试完成后由采购人（或采购人指定的单位）和成交供应商共同进行验收，并签署项目验收报告</w:t>
      </w:r>
      <w:r>
        <w:rPr>
          <w:rFonts w:hint="eastAsia" w:ascii="Times New Roman" w:hAnsi="Times New Roman" w:eastAsia="仿宋" w:cs="Times New Roman"/>
          <w:sz w:val="32"/>
          <w:szCs w:val="32"/>
          <w:lang w:eastAsia="zh-CN"/>
        </w:rPr>
        <w:t>。</w:t>
      </w:r>
    </w:p>
    <w:p w14:paraId="38E67F52">
      <w:pPr>
        <w:pStyle w:val="3"/>
        <w:pageBreakBefore w:val="0"/>
        <w:widowControl w:val="0"/>
        <w:kinsoku/>
        <w:wordWrap/>
        <w:overflowPunct/>
        <w:topLinePunct w:val="0"/>
        <w:autoSpaceDE/>
        <w:autoSpaceDN/>
        <w:bidi w:val="0"/>
        <w:adjustRightInd/>
        <w:snapToGrid/>
        <w:spacing w:line="575"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成交供应商应对采购人提</w:t>
      </w:r>
      <w:r>
        <w:rPr>
          <w:rFonts w:hint="default" w:ascii="Times New Roman" w:hAnsi="Times New Roman" w:eastAsia="仿宋" w:cs="Times New Roman"/>
          <w:kern w:val="2"/>
          <w:sz w:val="32"/>
          <w:szCs w:val="32"/>
          <w:lang w:val="en-US" w:eastAsia="zh-CN" w:bidi="ar-SA"/>
        </w:rPr>
        <w:t>供</w:t>
      </w:r>
      <w:r>
        <w:rPr>
          <w:rFonts w:hint="eastAsia" w:ascii="Times New Roman" w:hAnsi="Times New Roman" w:eastAsia="仿宋" w:cs="Times New Roman"/>
          <w:kern w:val="2"/>
          <w:sz w:val="32"/>
          <w:szCs w:val="32"/>
          <w:lang w:val="en-US" w:eastAsia="zh-CN" w:bidi="ar-SA"/>
        </w:rPr>
        <w:t>每年至少一次的</w:t>
      </w:r>
      <w:r>
        <w:rPr>
          <w:rFonts w:hint="default" w:ascii="Times New Roman" w:hAnsi="Times New Roman" w:eastAsia="仿宋" w:cs="Times New Roman"/>
          <w:kern w:val="2"/>
          <w:sz w:val="32"/>
          <w:szCs w:val="32"/>
          <w:lang w:val="en-US" w:eastAsia="zh-CN" w:bidi="ar-SA"/>
        </w:rPr>
        <w:t>培</w:t>
      </w:r>
      <w:r>
        <w:rPr>
          <w:rFonts w:hint="default" w:ascii="Times New Roman" w:hAnsi="Times New Roman" w:eastAsia="仿宋" w:cs="Times New Roman"/>
          <w:sz w:val="32"/>
          <w:szCs w:val="32"/>
        </w:rPr>
        <w:t>训服务。</w:t>
      </w:r>
    </w:p>
    <w:p w14:paraId="26257CF4">
      <w:pPr>
        <w:pStyle w:val="3"/>
        <w:pageBreakBefore w:val="0"/>
        <w:widowControl w:val="0"/>
        <w:kinsoku/>
        <w:wordWrap/>
        <w:overflowPunct/>
        <w:topLinePunct w:val="0"/>
        <w:autoSpaceDE/>
        <w:autoSpaceDN/>
        <w:bidi w:val="0"/>
        <w:adjustRightInd/>
        <w:snapToGrid/>
        <w:spacing w:line="575" w:lineRule="exact"/>
        <w:ind w:firstLine="640" w:firstLineChars="200"/>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（二）参数要求</w:t>
      </w:r>
    </w:p>
    <w:tbl>
      <w:tblPr>
        <w:tblStyle w:val="7"/>
        <w:tblW w:w="9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010"/>
        <w:gridCol w:w="6285"/>
        <w:gridCol w:w="772"/>
      </w:tblGrid>
      <w:tr w14:paraId="4EC3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14:paraId="78835D9F">
            <w:pPr>
              <w:pStyle w:val="3"/>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序号</w:t>
            </w:r>
          </w:p>
        </w:tc>
        <w:tc>
          <w:tcPr>
            <w:tcW w:w="2010" w:type="dxa"/>
            <w:noWrap w:val="0"/>
            <w:vAlign w:val="center"/>
          </w:tcPr>
          <w:p w14:paraId="7A370E9E">
            <w:pPr>
              <w:pStyle w:val="3"/>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货物名称</w:t>
            </w:r>
          </w:p>
        </w:tc>
        <w:tc>
          <w:tcPr>
            <w:tcW w:w="6285" w:type="dxa"/>
            <w:noWrap w:val="0"/>
            <w:vAlign w:val="center"/>
          </w:tcPr>
          <w:p w14:paraId="50C1BF9D">
            <w:pPr>
              <w:pStyle w:val="3"/>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参数要求</w:t>
            </w:r>
          </w:p>
        </w:tc>
        <w:tc>
          <w:tcPr>
            <w:tcW w:w="772" w:type="dxa"/>
            <w:noWrap w:val="0"/>
            <w:vAlign w:val="center"/>
          </w:tcPr>
          <w:p w14:paraId="1DA8D091">
            <w:pPr>
              <w:pStyle w:val="3"/>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数量</w:t>
            </w:r>
          </w:p>
        </w:tc>
      </w:tr>
      <w:tr w14:paraId="68DC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noWrap w:val="0"/>
            <w:vAlign w:val="center"/>
          </w:tcPr>
          <w:p w14:paraId="179769B8">
            <w:pPr>
              <w:pStyle w:val="3"/>
              <w:spacing w:line="300" w:lineRule="exact"/>
              <w:jc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olor w:val="000000"/>
                <w:kern w:val="0"/>
                <w:sz w:val="24"/>
                <w:lang w:val="en-US" w:eastAsia="zh-CN" w:bidi="ar"/>
              </w:rPr>
              <w:t>1</w:t>
            </w:r>
          </w:p>
        </w:tc>
        <w:tc>
          <w:tcPr>
            <w:tcW w:w="2010" w:type="dxa"/>
            <w:noWrap w:val="0"/>
            <w:vAlign w:val="center"/>
          </w:tcPr>
          <w:p w14:paraId="0936F1B8">
            <w:pPr>
              <w:pStyle w:val="3"/>
              <w:spacing w:line="300" w:lineRule="exact"/>
              <w:jc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olor w:val="000000"/>
                <w:kern w:val="0"/>
                <w:sz w:val="24"/>
                <w:lang w:val="en-US" w:eastAsia="zh-CN" w:bidi="ar"/>
              </w:rPr>
              <w:t>高压</w:t>
            </w:r>
            <w:r>
              <w:rPr>
                <w:rFonts w:hint="eastAsia" w:ascii="Times New Roman" w:hAnsi="Times New Roman" w:eastAsia="仿宋"/>
                <w:color w:val="000000"/>
                <w:kern w:val="0"/>
                <w:sz w:val="24"/>
                <w:lang w:bidi="ar"/>
              </w:rPr>
              <w:t>水</w:t>
            </w:r>
            <w:r>
              <w:rPr>
                <w:rFonts w:ascii="Times New Roman" w:hAnsi="Times New Roman" w:eastAsia="仿宋"/>
                <w:color w:val="000000"/>
                <w:kern w:val="0"/>
                <w:sz w:val="24"/>
                <w:lang w:bidi="ar"/>
              </w:rPr>
              <w:t>泵</w:t>
            </w:r>
          </w:p>
        </w:tc>
        <w:tc>
          <w:tcPr>
            <w:tcW w:w="6285" w:type="dxa"/>
            <w:noWrap w:val="0"/>
            <w:vAlign w:val="center"/>
          </w:tcPr>
          <w:p w14:paraId="38996A25">
            <w:pPr>
              <w:widowControl/>
              <w:spacing w:line="300" w:lineRule="exact"/>
              <w:jc w:val="left"/>
              <w:rPr>
                <w:rFonts w:hint="default" w:eastAsia="仿宋"/>
                <w:color w:val="000000"/>
                <w:kern w:val="0"/>
                <w:sz w:val="24"/>
                <w:lang w:val="en-US" w:eastAsia="zh-CN" w:bidi="ar"/>
              </w:rPr>
            </w:pPr>
            <w:r>
              <w:rPr>
                <w:rFonts w:ascii="Times New Roman" w:hAnsi="Times New Roman" w:eastAsia="仿宋"/>
                <w:color w:val="000000"/>
                <w:kern w:val="0"/>
                <w:sz w:val="24"/>
                <w:lang w:bidi="ar"/>
              </w:rPr>
              <w:t>▲</w:t>
            </w:r>
            <w:r>
              <w:rPr>
                <w:rFonts w:hint="eastAsia" w:eastAsia="仿宋"/>
                <w:color w:val="000000"/>
                <w:kern w:val="0"/>
                <w:sz w:val="24"/>
                <w:lang w:val="en-US" w:eastAsia="zh-CN" w:bidi="ar"/>
              </w:rPr>
              <w:t>1.泵效率 ：≥86%（提供国家工业泵质量检验检测中心出具的检验报告）</w:t>
            </w:r>
          </w:p>
          <w:p w14:paraId="25B67024">
            <w:pPr>
              <w:widowControl/>
              <w:spacing w:line="300" w:lineRule="exact"/>
              <w:jc w:val="left"/>
              <w:rPr>
                <w:rFonts w:hint="default" w:eastAsia="仿宋"/>
                <w:color w:val="000000"/>
                <w:kern w:val="0"/>
                <w:sz w:val="24"/>
                <w:lang w:val="en-US" w:eastAsia="zh-CN" w:bidi="ar"/>
              </w:rPr>
            </w:pPr>
            <w:r>
              <w:rPr>
                <w:rFonts w:hint="eastAsia" w:eastAsia="仿宋"/>
                <w:color w:val="000000"/>
                <w:kern w:val="0"/>
                <w:sz w:val="24"/>
                <w:lang w:val="en-US" w:eastAsia="zh-CN" w:bidi="ar"/>
              </w:rPr>
              <w:t>▲2.额定流量 ：≥12.4m3/h（提供国家工业泵质量检验检测中心出具的检验报告）</w:t>
            </w:r>
          </w:p>
          <w:p w14:paraId="5B5810E9">
            <w:pPr>
              <w:widowControl/>
              <w:spacing w:line="300" w:lineRule="exact"/>
              <w:jc w:val="left"/>
              <w:rPr>
                <w:rFonts w:hint="default" w:eastAsia="仿宋"/>
                <w:color w:val="000000"/>
                <w:kern w:val="0"/>
                <w:sz w:val="24"/>
                <w:lang w:val="en-US" w:eastAsia="zh-CN" w:bidi="ar"/>
              </w:rPr>
            </w:pPr>
            <w:r>
              <w:rPr>
                <w:rFonts w:hint="eastAsia" w:eastAsia="仿宋"/>
                <w:color w:val="000000"/>
                <w:kern w:val="0"/>
                <w:sz w:val="24"/>
                <w:lang w:val="en-US" w:eastAsia="zh-CN" w:bidi="ar"/>
              </w:rPr>
              <w:t>▲3.排出压力 ：≥8MPa （提供国家工业泵质量检验检测中心出具的检验报告）</w:t>
            </w:r>
          </w:p>
          <w:p w14:paraId="2F98D022">
            <w:pPr>
              <w:widowControl/>
              <w:spacing w:line="300" w:lineRule="exact"/>
              <w:jc w:val="left"/>
              <w:rPr>
                <w:rFonts w:ascii="Times New Roman" w:hAnsi="Times New Roman" w:eastAsia="仿宋"/>
                <w:color w:val="000000"/>
                <w:kern w:val="0"/>
                <w:sz w:val="24"/>
                <w:lang w:bidi="ar"/>
              </w:rPr>
            </w:pPr>
            <w:r>
              <w:rPr>
                <w:rFonts w:ascii="Times New Roman" w:hAnsi="Times New Roman" w:eastAsia="仿宋"/>
                <w:color w:val="000000"/>
                <w:kern w:val="0"/>
                <w:sz w:val="24"/>
                <w:lang w:bidi="ar"/>
              </w:rPr>
              <w:t>4</w:t>
            </w:r>
            <w:r>
              <w:rPr>
                <w:rFonts w:hint="eastAsia" w:ascii="Times New Roman" w:hAnsi="Times New Roman" w:eastAsia="仿宋"/>
                <w:color w:val="000000"/>
                <w:kern w:val="0"/>
                <w:sz w:val="24"/>
                <w:lang w:bidi="ar"/>
              </w:rPr>
              <w:t>.</w:t>
            </w:r>
            <w:r>
              <w:rPr>
                <w:rFonts w:ascii="Times New Roman" w:hAnsi="Times New Roman" w:eastAsia="仿宋"/>
                <w:color w:val="000000"/>
                <w:kern w:val="0"/>
                <w:sz w:val="24"/>
                <w:lang w:bidi="ar"/>
              </w:rPr>
              <w:t xml:space="preserve">燃油箱容积：≥25 L  </w:t>
            </w:r>
          </w:p>
          <w:p w14:paraId="29436C41">
            <w:pPr>
              <w:widowControl/>
              <w:spacing w:line="300" w:lineRule="exact"/>
              <w:jc w:val="left"/>
              <w:rPr>
                <w:rFonts w:ascii="Times New Roman" w:hAnsi="Times New Roman" w:eastAsia="仿宋"/>
                <w:color w:val="000000"/>
                <w:kern w:val="0"/>
                <w:sz w:val="24"/>
                <w:lang w:bidi="ar"/>
              </w:rPr>
            </w:pPr>
            <w:r>
              <w:rPr>
                <w:rFonts w:ascii="Times New Roman" w:hAnsi="Times New Roman" w:eastAsia="仿宋"/>
                <w:color w:val="000000"/>
                <w:kern w:val="0"/>
                <w:sz w:val="24"/>
                <w:lang w:bidi="ar"/>
              </w:rPr>
              <w:t>5</w:t>
            </w:r>
            <w:r>
              <w:rPr>
                <w:rFonts w:hint="eastAsia" w:ascii="Times New Roman" w:hAnsi="Times New Roman" w:eastAsia="仿宋"/>
                <w:color w:val="000000"/>
                <w:kern w:val="0"/>
                <w:sz w:val="24"/>
                <w:lang w:bidi="ar"/>
              </w:rPr>
              <w:t>.</w:t>
            </w:r>
            <w:r>
              <w:rPr>
                <w:rFonts w:ascii="Times New Roman" w:hAnsi="Times New Roman" w:eastAsia="仿宋"/>
                <w:color w:val="000000"/>
                <w:kern w:val="0"/>
                <w:sz w:val="24"/>
                <w:lang w:bidi="ar"/>
              </w:rPr>
              <w:t xml:space="preserve">整机质量：≥90Kg </w:t>
            </w:r>
          </w:p>
          <w:p w14:paraId="1EAF93D9">
            <w:pPr>
              <w:widowControl/>
              <w:spacing w:line="300" w:lineRule="exact"/>
              <w:jc w:val="left"/>
              <w:rPr>
                <w:rFonts w:ascii="Times New Roman" w:hAnsi="Times New Roman" w:eastAsia="仿宋"/>
                <w:color w:val="000000"/>
                <w:kern w:val="0"/>
                <w:sz w:val="24"/>
                <w:lang w:bidi="ar"/>
              </w:rPr>
            </w:pPr>
            <w:r>
              <w:rPr>
                <w:rFonts w:ascii="Times New Roman" w:hAnsi="Times New Roman" w:eastAsia="仿宋"/>
                <w:color w:val="000000"/>
                <w:kern w:val="0"/>
                <w:sz w:val="24"/>
                <w:lang w:bidi="ar"/>
              </w:rPr>
              <w:t>6</w:t>
            </w:r>
            <w:r>
              <w:rPr>
                <w:rFonts w:hint="eastAsia" w:ascii="Times New Roman" w:hAnsi="Times New Roman" w:eastAsia="仿宋"/>
                <w:color w:val="000000"/>
                <w:kern w:val="0"/>
                <w:sz w:val="24"/>
                <w:lang w:bidi="ar"/>
              </w:rPr>
              <w:t>.</w:t>
            </w:r>
            <w:r>
              <w:rPr>
                <w:rFonts w:ascii="Times New Roman" w:hAnsi="Times New Roman" w:eastAsia="仿宋"/>
                <w:color w:val="000000"/>
                <w:kern w:val="0"/>
                <w:sz w:val="24"/>
                <w:lang w:bidi="ar"/>
              </w:rPr>
              <w:t>进水</w:t>
            </w:r>
            <w:r>
              <w:rPr>
                <w:rFonts w:hint="eastAsia" w:ascii="Times New Roman" w:hAnsi="Times New Roman" w:eastAsia="仿宋"/>
                <w:color w:val="000000"/>
                <w:kern w:val="0"/>
                <w:sz w:val="24"/>
                <w:lang w:bidi="ar"/>
              </w:rPr>
              <w:t>口</w:t>
            </w:r>
            <w:r>
              <w:rPr>
                <w:rFonts w:ascii="Times New Roman" w:hAnsi="Times New Roman" w:eastAsia="仿宋"/>
                <w:color w:val="000000"/>
                <w:kern w:val="0"/>
                <w:sz w:val="24"/>
                <w:lang w:bidi="ar"/>
              </w:rPr>
              <w:t xml:space="preserve">直径：50mm </w:t>
            </w:r>
          </w:p>
          <w:p w14:paraId="206F4836">
            <w:pPr>
              <w:widowControl/>
              <w:spacing w:line="300" w:lineRule="exact"/>
              <w:jc w:val="left"/>
              <w:rPr>
                <w:rFonts w:ascii="Times New Roman" w:hAnsi="Times New Roman" w:eastAsia="仿宋"/>
                <w:color w:val="000000"/>
                <w:kern w:val="0"/>
                <w:sz w:val="24"/>
                <w:lang w:bidi="ar"/>
              </w:rPr>
            </w:pPr>
            <w:r>
              <w:rPr>
                <w:rFonts w:ascii="Times New Roman" w:hAnsi="Times New Roman" w:eastAsia="仿宋"/>
                <w:color w:val="000000"/>
                <w:kern w:val="0"/>
                <w:sz w:val="24"/>
                <w:lang w:bidi="ar"/>
              </w:rPr>
              <w:t>7</w:t>
            </w:r>
            <w:r>
              <w:rPr>
                <w:rFonts w:hint="eastAsia" w:ascii="Times New Roman" w:hAnsi="Times New Roman" w:eastAsia="仿宋"/>
                <w:color w:val="000000"/>
                <w:kern w:val="0"/>
                <w:sz w:val="24"/>
                <w:lang w:bidi="ar"/>
              </w:rPr>
              <w:t>.</w:t>
            </w:r>
            <w:r>
              <w:rPr>
                <w:rFonts w:ascii="Times New Roman" w:hAnsi="Times New Roman" w:eastAsia="仿宋"/>
                <w:color w:val="000000"/>
                <w:kern w:val="0"/>
                <w:sz w:val="24"/>
                <w:lang w:bidi="ar"/>
              </w:rPr>
              <w:t>出水</w:t>
            </w:r>
            <w:r>
              <w:rPr>
                <w:rFonts w:hint="eastAsia" w:ascii="Times New Roman" w:hAnsi="Times New Roman" w:eastAsia="仿宋"/>
                <w:color w:val="000000"/>
                <w:kern w:val="0"/>
                <w:sz w:val="24"/>
                <w:lang w:bidi="ar"/>
              </w:rPr>
              <w:t>口</w:t>
            </w:r>
            <w:r>
              <w:rPr>
                <w:rFonts w:ascii="Times New Roman" w:hAnsi="Times New Roman" w:eastAsia="仿宋"/>
                <w:color w:val="000000"/>
                <w:kern w:val="0"/>
                <w:sz w:val="24"/>
                <w:lang w:bidi="ar"/>
              </w:rPr>
              <w:t>直径：</w:t>
            </w:r>
            <w:r>
              <w:rPr>
                <w:rFonts w:hint="eastAsia" w:eastAsia="仿宋"/>
                <w:color w:val="000000"/>
                <w:kern w:val="0"/>
                <w:sz w:val="24"/>
                <w:lang w:val="en-US" w:eastAsia="zh-CN" w:bidi="ar"/>
              </w:rPr>
              <w:t>40</w:t>
            </w:r>
            <w:r>
              <w:rPr>
                <w:rFonts w:ascii="Times New Roman" w:hAnsi="Times New Roman" w:eastAsia="仿宋"/>
                <w:color w:val="000000"/>
                <w:kern w:val="0"/>
                <w:sz w:val="24"/>
                <w:lang w:bidi="ar"/>
              </w:rPr>
              <w:t xml:space="preserve">mm </w:t>
            </w:r>
          </w:p>
          <w:p w14:paraId="6E218168">
            <w:pPr>
              <w:widowControl/>
              <w:spacing w:line="300" w:lineRule="exact"/>
              <w:jc w:val="left"/>
              <w:rPr>
                <w:rFonts w:hint="default" w:eastAsia="仿宋"/>
                <w:color w:val="000000"/>
                <w:kern w:val="0"/>
                <w:sz w:val="24"/>
                <w:lang w:val="en-US" w:eastAsia="zh-CN" w:bidi="ar"/>
              </w:rPr>
            </w:pPr>
            <w:r>
              <w:rPr>
                <w:rFonts w:hint="eastAsia" w:eastAsia="仿宋"/>
                <w:color w:val="000000"/>
                <w:kern w:val="0"/>
                <w:sz w:val="24"/>
                <w:lang w:val="en-US" w:eastAsia="zh-CN" w:bidi="ar"/>
              </w:rPr>
              <w:t>▲8.容积系数 ：≥90%（提供国家工业泵质量检验检测中心出具的检验报告）</w:t>
            </w:r>
          </w:p>
          <w:p w14:paraId="283BC569">
            <w:pPr>
              <w:widowControl/>
              <w:spacing w:line="300" w:lineRule="exact"/>
              <w:jc w:val="left"/>
              <w:rPr>
                <w:rFonts w:hint="default" w:eastAsia="仿宋"/>
                <w:color w:val="000000"/>
                <w:kern w:val="0"/>
                <w:sz w:val="24"/>
                <w:lang w:val="en-US" w:eastAsia="zh-CN" w:bidi="ar"/>
              </w:rPr>
            </w:pPr>
            <w:r>
              <w:rPr>
                <w:rFonts w:hint="eastAsia" w:eastAsia="仿宋"/>
                <w:color w:val="000000"/>
                <w:kern w:val="0"/>
                <w:sz w:val="24"/>
                <w:lang w:val="en-US" w:eastAsia="zh-CN" w:bidi="ar"/>
              </w:rPr>
              <w:t>▲9.噪声dB ：≥85 （提供国家工业泵质量检验检测中心出具的检验报告）</w:t>
            </w:r>
          </w:p>
          <w:p w14:paraId="2FC0E93B">
            <w:pPr>
              <w:widowControl/>
              <w:spacing w:line="300" w:lineRule="exact"/>
              <w:jc w:val="left"/>
              <w:rPr>
                <w:rFonts w:hint="default" w:eastAsia="仿宋"/>
                <w:color w:val="000000"/>
                <w:kern w:val="0"/>
                <w:sz w:val="24"/>
                <w:lang w:val="en-US" w:eastAsia="zh-CN" w:bidi="ar"/>
              </w:rPr>
            </w:pPr>
            <w:r>
              <w:rPr>
                <w:rFonts w:hint="eastAsia" w:eastAsia="仿宋"/>
                <w:color w:val="000000"/>
                <w:kern w:val="0"/>
                <w:sz w:val="24"/>
                <w:lang w:val="en-US" w:eastAsia="zh-CN" w:bidi="ar"/>
              </w:rPr>
              <w:t>▲10.规定转速:980r/min（提供国家工业泵质量检验检测中心出具的检验报告）</w:t>
            </w:r>
          </w:p>
          <w:p w14:paraId="571F2118">
            <w:pPr>
              <w:widowControl/>
              <w:spacing w:line="300" w:lineRule="exact"/>
              <w:jc w:val="left"/>
              <w:rPr>
                <w:rFonts w:hint="default" w:eastAsia="仿宋"/>
                <w:color w:val="000000"/>
                <w:kern w:val="0"/>
                <w:sz w:val="24"/>
                <w:lang w:val="en-US" w:eastAsia="zh-CN" w:bidi="ar"/>
              </w:rPr>
            </w:pPr>
            <w:r>
              <w:rPr>
                <w:rFonts w:hint="eastAsia" w:eastAsia="仿宋"/>
                <w:color w:val="000000"/>
                <w:kern w:val="0"/>
                <w:sz w:val="24"/>
                <w:lang w:val="en-US" w:eastAsia="zh-CN" w:bidi="ar"/>
              </w:rPr>
              <w:t>▲11.电机额定功率30kw。（提供国家工业泵质量检验检测中心出具的检验报告）</w:t>
            </w:r>
          </w:p>
          <w:p w14:paraId="6950E31D">
            <w:pPr>
              <w:widowControl/>
              <w:spacing w:line="300" w:lineRule="exact"/>
              <w:jc w:val="left"/>
              <w:rPr>
                <w:rFonts w:ascii="Times New Roman" w:hAnsi="Times New Roman" w:eastAsia="仿宋"/>
                <w:color w:val="000000"/>
                <w:kern w:val="0"/>
                <w:sz w:val="24"/>
                <w:lang w:bidi="ar"/>
              </w:rPr>
            </w:pPr>
            <w:r>
              <w:rPr>
                <w:rFonts w:hint="eastAsia" w:eastAsia="仿宋"/>
                <w:color w:val="000000"/>
                <w:kern w:val="0"/>
                <w:sz w:val="24"/>
                <w:lang w:val="en-US" w:eastAsia="zh-CN" w:bidi="ar"/>
              </w:rPr>
              <w:t>12</w:t>
            </w:r>
            <w:r>
              <w:rPr>
                <w:rFonts w:hint="eastAsia" w:ascii="Times New Roman" w:hAnsi="Times New Roman" w:eastAsia="仿宋"/>
                <w:color w:val="000000"/>
                <w:kern w:val="0"/>
                <w:sz w:val="24"/>
                <w:lang w:bidi="ar"/>
              </w:rPr>
              <w:t>.</w:t>
            </w:r>
            <w:r>
              <w:rPr>
                <w:rFonts w:ascii="Times New Roman" w:hAnsi="Times New Roman" w:eastAsia="仿宋"/>
                <w:color w:val="000000"/>
                <w:kern w:val="0"/>
                <w:sz w:val="24"/>
                <w:lang w:bidi="ar"/>
              </w:rPr>
              <w:t xml:space="preserve">连续运转性能：泵在额定工况下连续不间断运转2h， 每15min检查一次出水压力、流量和转速，检查泵的密封情况。试验结果满足下列规定： </w:t>
            </w:r>
          </w:p>
          <w:p w14:paraId="07D6E554">
            <w:pPr>
              <w:widowControl/>
              <w:spacing w:line="300" w:lineRule="exact"/>
              <w:jc w:val="left"/>
              <w:rPr>
                <w:rFonts w:ascii="Times New Roman" w:hAnsi="Times New Roman" w:eastAsia="仿宋"/>
                <w:color w:val="000000"/>
                <w:kern w:val="0"/>
                <w:sz w:val="24"/>
                <w:lang w:bidi="ar"/>
              </w:rPr>
            </w:pPr>
            <w:r>
              <w:rPr>
                <w:rFonts w:ascii="Times New Roman" w:hAnsi="Times New Roman" w:eastAsia="仿宋"/>
                <w:color w:val="000000"/>
                <w:kern w:val="0"/>
                <w:sz w:val="24"/>
                <w:lang w:bidi="ar"/>
              </w:rPr>
              <w:t>a)泵的出口压力不低于额定压力，流量符合额定流量的要求。</w:t>
            </w:r>
          </w:p>
          <w:p w14:paraId="6165864B">
            <w:pPr>
              <w:widowControl/>
              <w:spacing w:line="300" w:lineRule="exact"/>
              <w:jc w:val="left"/>
              <w:rPr>
                <w:rFonts w:ascii="Times New Roman" w:hAnsi="Times New Roman" w:eastAsia="仿宋"/>
                <w:color w:val="000000"/>
                <w:kern w:val="0"/>
                <w:sz w:val="24"/>
                <w:lang w:bidi="ar"/>
              </w:rPr>
            </w:pPr>
            <w:r>
              <w:rPr>
                <w:rFonts w:ascii="Times New Roman" w:hAnsi="Times New Roman" w:eastAsia="仿宋"/>
                <w:color w:val="000000"/>
                <w:kern w:val="0"/>
                <w:sz w:val="24"/>
                <w:lang w:bidi="ar"/>
              </w:rPr>
              <w:t xml:space="preserve">b)轴封处密封良好，无线状泄露。 </w:t>
            </w:r>
          </w:p>
          <w:p w14:paraId="3172C823">
            <w:pPr>
              <w:widowControl/>
              <w:spacing w:line="300" w:lineRule="exact"/>
              <w:jc w:val="left"/>
              <w:rPr>
                <w:rFonts w:ascii="Times New Roman" w:hAnsi="Times New Roman" w:eastAsia="仿宋"/>
                <w:color w:val="000000"/>
                <w:kern w:val="0"/>
                <w:sz w:val="24"/>
                <w:lang w:bidi="ar"/>
              </w:rPr>
            </w:pPr>
            <w:r>
              <w:rPr>
                <w:rFonts w:hint="eastAsia" w:eastAsia="仿宋"/>
                <w:color w:val="000000"/>
                <w:kern w:val="0"/>
                <w:sz w:val="24"/>
                <w:lang w:val="en-US" w:eastAsia="zh-CN" w:bidi="ar"/>
              </w:rPr>
              <w:t>13</w:t>
            </w:r>
            <w:r>
              <w:rPr>
                <w:rFonts w:hint="eastAsia" w:ascii="Times New Roman" w:hAnsi="Times New Roman" w:eastAsia="仿宋"/>
                <w:color w:val="000000"/>
                <w:kern w:val="0"/>
                <w:sz w:val="24"/>
                <w:lang w:bidi="ar"/>
              </w:rPr>
              <w:t>.</w:t>
            </w:r>
            <w:r>
              <w:rPr>
                <w:rFonts w:ascii="Times New Roman" w:hAnsi="Times New Roman" w:eastAsia="仿宋"/>
                <w:color w:val="000000"/>
                <w:kern w:val="0"/>
                <w:sz w:val="24"/>
                <w:lang w:bidi="ar"/>
              </w:rPr>
              <w:t>启动方式：手拉、电启动。</w:t>
            </w:r>
          </w:p>
          <w:p w14:paraId="1EA9FD98">
            <w:pPr>
              <w:widowControl/>
              <w:spacing w:line="300" w:lineRule="exact"/>
              <w:jc w:val="left"/>
              <w:rPr>
                <w:rFonts w:ascii="Times New Roman" w:hAnsi="Times New Roman" w:eastAsia="仿宋"/>
                <w:color w:val="000000"/>
                <w:kern w:val="0"/>
                <w:sz w:val="24"/>
                <w:lang w:bidi="ar"/>
              </w:rPr>
            </w:pPr>
            <w:r>
              <w:rPr>
                <w:rFonts w:ascii="Times New Roman" w:hAnsi="Times New Roman" w:eastAsia="仿宋"/>
                <w:color w:val="000000"/>
                <w:kern w:val="0"/>
                <w:sz w:val="24"/>
                <w:lang w:bidi="ar"/>
              </w:rPr>
              <w:t>1</w:t>
            </w:r>
            <w:r>
              <w:rPr>
                <w:rFonts w:hint="eastAsia" w:eastAsia="仿宋"/>
                <w:color w:val="000000"/>
                <w:kern w:val="0"/>
                <w:sz w:val="24"/>
                <w:lang w:val="en-US" w:eastAsia="zh-CN" w:bidi="ar"/>
              </w:rPr>
              <w:t>4</w:t>
            </w:r>
            <w:r>
              <w:rPr>
                <w:rFonts w:hint="eastAsia" w:ascii="Times New Roman" w:hAnsi="Times New Roman" w:eastAsia="仿宋"/>
                <w:color w:val="000000"/>
                <w:kern w:val="0"/>
                <w:sz w:val="24"/>
                <w:lang w:bidi="ar"/>
              </w:rPr>
              <w:t>.</w:t>
            </w:r>
            <w:r>
              <w:rPr>
                <w:rFonts w:ascii="Times New Roman" w:hAnsi="Times New Roman" w:eastAsia="仿宋"/>
                <w:color w:val="000000"/>
                <w:kern w:val="0"/>
                <w:sz w:val="24"/>
                <w:lang w:bidi="ar"/>
              </w:rPr>
              <w:t xml:space="preserve">启动性能常温起动：≤10S </w:t>
            </w:r>
          </w:p>
          <w:p w14:paraId="35DD09A0">
            <w:pPr>
              <w:widowControl/>
              <w:spacing w:line="300" w:lineRule="exact"/>
              <w:jc w:val="left"/>
              <w:rPr>
                <w:rFonts w:ascii="Times New Roman" w:hAnsi="Times New Roman" w:eastAsia="仿宋"/>
                <w:color w:val="000000"/>
                <w:kern w:val="0"/>
                <w:sz w:val="24"/>
                <w:lang w:bidi="ar"/>
              </w:rPr>
            </w:pPr>
            <w:r>
              <w:rPr>
                <w:rFonts w:ascii="Times New Roman" w:hAnsi="Times New Roman" w:eastAsia="仿宋"/>
                <w:color w:val="000000"/>
                <w:kern w:val="0"/>
                <w:sz w:val="24"/>
                <w:lang w:bidi="ar"/>
              </w:rPr>
              <w:t>启动性能热起动：≤8S</w:t>
            </w:r>
          </w:p>
          <w:p w14:paraId="6DB037EF">
            <w:pPr>
              <w:widowControl/>
              <w:spacing w:line="300" w:lineRule="exact"/>
              <w:jc w:val="left"/>
              <w:rPr>
                <w:rFonts w:hint="default"/>
                <w:lang w:val="en-US" w:eastAsia="zh-CN"/>
              </w:rPr>
            </w:pPr>
            <w:r>
              <w:rPr>
                <w:rFonts w:hint="eastAsia" w:eastAsia="仿宋"/>
                <w:color w:val="000000"/>
                <w:kern w:val="0"/>
                <w:sz w:val="24"/>
                <w:lang w:val="en-US" w:eastAsia="zh-CN" w:bidi="ar"/>
              </w:rPr>
              <w:t>▲15.运行：各静密封面不应泄露，应无异常声响和振动，泵在额定工况运行时原动机不应过载。（提供国家工业泵质量检验检测中心出具的检验报告）</w:t>
            </w:r>
          </w:p>
        </w:tc>
        <w:tc>
          <w:tcPr>
            <w:tcW w:w="772" w:type="dxa"/>
            <w:noWrap w:val="0"/>
            <w:vAlign w:val="center"/>
          </w:tcPr>
          <w:p w14:paraId="6BB28E56">
            <w:pPr>
              <w:pStyle w:val="3"/>
              <w:spacing w:line="300" w:lineRule="exact"/>
              <w:jc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olor w:val="000000"/>
                <w:kern w:val="0"/>
                <w:sz w:val="24"/>
                <w:lang w:val="en-US" w:eastAsia="zh-CN" w:bidi="ar"/>
              </w:rPr>
              <w:t>1</w:t>
            </w:r>
            <w:r>
              <w:rPr>
                <w:rFonts w:ascii="Times New Roman" w:hAnsi="Times New Roman" w:eastAsia="仿宋"/>
                <w:color w:val="000000"/>
                <w:kern w:val="0"/>
                <w:sz w:val="24"/>
                <w:lang w:bidi="ar"/>
              </w:rPr>
              <w:t>台</w:t>
            </w:r>
          </w:p>
        </w:tc>
      </w:tr>
      <w:tr w14:paraId="7697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14:paraId="0F281E9E">
            <w:pPr>
              <w:pStyle w:val="3"/>
              <w:spacing w:line="300" w:lineRule="exact"/>
              <w:jc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sz w:val="24"/>
                <w:lang w:val="en-US" w:eastAsia="zh-CN"/>
              </w:rPr>
              <w:t>2</w:t>
            </w:r>
          </w:p>
        </w:tc>
        <w:tc>
          <w:tcPr>
            <w:tcW w:w="2010" w:type="dxa"/>
            <w:noWrap w:val="0"/>
            <w:vAlign w:val="center"/>
          </w:tcPr>
          <w:p w14:paraId="142AA6F3">
            <w:pPr>
              <w:pStyle w:val="3"/>
              <w:spacing w:line="300" w:lineRule="exact"/>
              <w:jc w:val="center"/>
              <w:rPr>
                <w:rFonts w:ascii="Times New Roman" w:hAnsi="Times New Roman" w:eastAsia="仿宋"/>
                <w:color w:val="000000"/>
                <w:kern w:val="0"/>
                <w:sz w:val="24"/>
                <w:lang w:bidi="ar"/>
              </w:rPr>
            </w:pPr>
            <w:r>
              <w:rPr>
                <w:rFonts w:ascii="Times New Roman" w:hAnsi="Times New Roman" w:eastAsia="仿宋"/>
                <w:color w:val="000000"/>
                <w:kern w:val="0"/>
                <w:sz w:val="24"/>
                <w:lang w:bidi="ar"/>
              </w:rPr>
              <w:t>40mm口径</w:t>
            </w:r>
          </w:p>
          <w:p w14:paraId="51ED8511">
            <w:pPr>
              <w:pStyle w:val="3"/>
              <w:spacing w:line="300" w:lineRule="exact"/>
              <w:jc w:val="center"/>
              <w:rPr>
                <w:rFonts w:hint="default" w:ascii="Times New Roman" w:hAnsi="Times New Roman" w:eastAsia="仿宋" w:cs="Times New Roman"/>
                <w:i w:val="0"/>
                <w:iCs w:val="0"/>
                <w:color w:val="000000"/>
                <w:kern w:val="0"/>
                <w:sz w:val="24"/>
                <w:szCs w:val="24"/>
                <w:u w:val="none"/>
                <w:lang w:val="en-US" w:eastAsia="zh-CN" w:bidi="ar"/>
              </w:rPr>
            </w:pPr>
            <w:r>
              <w:rPr>
                <w:rFonts w:ascii="Times New Roman" w:hAnsi="Times New Roman" w:eastAsia="仿宋"/>
                <w:color w:val="000000"/>
                <w:kern w:val="0"/>
                <w:sz w:val="24"/>
                <w:lang w:bidi="ar"/>
              </w:rPr>
              <w:t>直通枪头</w:t>
            </w:r>
          </w:p>
        </w:tc>
        <w:tc>
          <w:tcPr>
            <w:tcW w:w="6285" w:type="dxa"/>
            <w:noWrap w:val="0"/>
            <w:vAlign w:val="center"/>
          </w:tcPr>
          <w:p w14:paraId="3E1230AE">
            <w:pPr>
              <w:widowControl/>
              <w:spacing w:line="300" w:lineRule="exact"/>
              <w:jc w:val="left"/>
              <w:rPr>
                <w:rFonts w:ascii="Times New Roman" w:hAnsi="Times New Roman" w:eastAsia="仿宋"/>
                <w:color w:val="000000"/>
                <w:kern w:val="0"/>
                <w:sz w:val="24"/>
                <w:lang w:bidi="ar"/>
              </w:rPr>
            </w:pPr>
            <w:r>
              <w:rPr>
                <w:rFonts w:ascii="Times New Roman" w:hAnsi="Times New Roman" w:eastAsia="仿宋"/>
                <w:color w:val="000000"/>
                <w:kern w:val="0"/>
                <w:sz w:val="24"/>
                <w:lang w:bidi="ar"/>
              </w:rPr>
              <w:t>1</w:t>
            </w:r>
            <w:r>
              <w:rPr>
                <w:rFonts w:hint="eastAsia" w:ascii="Times New Roman" w:hAnsi="Times New Roman" w:eastAsia="仿宋"/>
                <w:color w:val="000000"/>
                <w:kern w:val="0"/>
                <w:sz w:val="24"/>
                <w:lang w:bidi="ar"/>
              </w:rPr>
              <w:t>.</w:t>
            </w:r>
            <w:r>
              <w:rPr>
                <w:rFonts w:ascii="Times New Roman" w:hAnsi="Times New Roman" w:eastAsia="仿宋"/>
                <w:color w:val="000000"/>
                <w:kern w:val="0"/>
                <w:sz w:val="24"/>
                <w:lang w:bidi="ar"/>
              </w:rPr>
              <w:t>40mm口径</w:t>
            </w:r>
          </w:p>
          <w:p w14:paraId="71777CCA">
            <w:pPr>
              <w:widowControl/>
              <w:spacing w:line="300" w:lineRule="exact"/>
              <w:jc w:val="left"/>
              <w:rPr>
                <w:rFonts w:hint="default" w:ascii="Times New Roman" w:hAnsi="Times New Roman" w:eastAsia="仿宋" w:cs="Times New Roman"/>
                <w:i w:val="0"/>
                <w:iCs w:val="0"/>
                <w:color w:val="000000"/>
                <w:kern w:val="0"/>
                <w:sz w:val="24"/>
                <w:szCs w:val="24"/>
                <w:u w:val="none"/>
                <w:lang w:val="en-US" w:eastAsia="zh-CN" w:bidi="ar"/>
              </w:rPr>
            </w:pPr>
            <w:r>
              <w:rPr>
                <w:rFonts w:ascii="Times New Roman" w:hAnsi="Times New Roman" w:eastAsia="仿宋"/>
                <w:color w:val="000000"/>
                <w:kern w:val="0"/>
                <w:sz w:val="24"/>
                <w:lang w:bidi="ar"/>
              </w:rPr>
              <w:t>2</w:t>
            </w:r>
            <w:r>
              <w:rPr>
                <w:rFonts w:hint="eastAsia" w:ascii="Times New Roman" w:hAnsi="Times New Roman" w:eastAsia="仿宋"/>
                <w:color w:val="000000"/>
                <w:kern w:val="0"/>
                <w:sz w:val="24"/>
                <w:lang w:bidi="ar"/>
              </w:rPr>
              <w:t>.</w:t>
            </w:r>
            <w:r>
              <w:rPr>
                <w:rFonts w:ascii="Times New Roman" w:hAnsi="Times New Roman" w:eastAsia="仿宋"/>
                <w:color w:val="000000"/>
                <w:kern w:val="0"/>
                <w:sz w:val="24"/>
                <w:lang w:bidi="ar"/>
              </w:rPr>
              <w:t>产品特性：由铝合金铸造而成，并经表面静电喷塑处理，</w:t>
            </w:r>
            <w:r>
              <w:rPr>
                <w:rFonts w:hint="eastAsia" w:ascii="Times New Roman" w:hAnsi="Times New Roman" w:eastAsia="仿宋"/>
                <w:color w:val="000000"/>
                <w:kern w:val="0"/>
                <w:sz w:val="24"/>
                <w:lang w:bidi="ar"/>
              </w:rPr>
              <w:t>水枪出水口径为10.0mm，水枪接口内置不锈钢过水滤网,</w:t>
            </w:r>
            <w:r>
              <w:rPr>
                <w:rFonts w:hint="eastAsia" w:ascii="Times New Roman" w:hAnsi="Times New Roman" w:eastAsia="仿宋"/>
                <w:color w:val="000000"/>
                <w:kern w:val="0"/>
                <w:sz w:val="24"/>
                <w:lang w:val="en-US" w:eastAsia="zh-CN" w:bidi="ar"/>
              </w:rPr>
              <w:t>枪体、</w:t>
            </w:r>
            <w:r>
              <w:rPr>
                <w:rFonts w:hint="eastAsia" w:ascii="Times New Roman" w:hAnsi="Times New Roman" w:eastAsia="仿宋"/>
                <w:color w:val="000000"/>
                <w:kern w:val="0"/>
                <w:sz w:val="24"/>
                <w:lang w:bidi="ar"/>
              </w:rPr>
              <w:t>枪头为全金属材质，</w:t>
            </w:r>
            <w:r>
              <w:rPr>
                <w:rFonts w:hint="eastAsia" w:ascii="Times New Roman" w:hAnsi="Times New Roman" w:eastAsia="仿宋"/>
                <w:color w:val="000000"/>
                <w:kern w:val="0"/>
                <w:sz w:val="24"/>
                <w:lang w:val="en-US" w:eastAsia="zh-CN" w:bidi="ar"/>
              </w:rPr>
              <w:t>表面做防腐处理，</w:t>
            </w:r>
            <w:r>
              <w:rPr>
                <w:rFonts w:hint="eastAsia" w:ascii="Times New Roman" w:hAnsi="Times New Roman" w:eastAsia="仿宋"/>
                <w:color w:val="000000"/>
                <w:kern w:val="0"/>
                <w:sz w:val="24"/>
                <w:lang w:bidi="ar"/>
              </w:rPr>
              <w:t>水枪总长≥400mm，水枪配有肩带，肩带长度可调</w:t>
            </w:r>
            <w:r>
              <w:rPr>
                <w:rFonts w:hint="eastAsia" w:eastAsia="仿宋"/>
                <w:color w:val="000000"/>
                <w:kern w:val="0"/>
                <w:sz w:val="24"/>
                <w:lang w:eastAsia="zh-CN" w:bidi="ar"/>
              </w:rPr>
              <w:t>，</w:t>
            </w:r>
            <w:r>
              <w:rPr>
                <w:rFonts w:ascii="Times New Roman" w:hAnsi="Times New Roman" w:eastAsia="仿宋"/>
                <w:color w:val="000000"/>
                <w:kern w:val="0"/>
                <w:sz w:val="24"/>
                <w:lang w:bidi="ar"/>
              </w:rPr>
              <w:t>具有重量轻、强度高、耐腐蚀、连接灵活。</w:t>
            </w:r>
          </w:p>
        </w:tc>
        <w:tc>
          <w:tcPr>
            <w:tcW w:w="772" w:type="dxa"/>
            <w:noWrap w:val="0"/>
            <w:vAlign w:val="center"/>
          </w:tcPr>
          <w:p w14:paraId="54A80221">
            <w:pPr>
              <w:pStyle w:val="3"/>
              <w:spacing w:line="300" w:lineRule="exact"/>
              <w:jc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olor w:val="000000"/>
                <w:kern w:val="0"/>
                <w:sz w:val="24"/>
                <w:lang w:val="en-US" w:eastAsia="zh-CN" w:bidi="ar"/>
              </w:rPr>
              <w:t>1</w:t>
            </w:r>
            <w:r>
              <w:rPr>
                <w:rFonts w:ascii="Times New Roman" w:hAnsi="Times New Roman" w:eastAsia="仿宋"/>
                <w:color w:val="000000"/>
                <w:kern w:val="0"/>
                <w:sz w:val="24"/>
                <w:lang w:bidi="ar"/>
              </w:rPr>
              <w:t>个</w:t>
            </w:r>
          </w:p>
        </w:tc>
      </w:tr>
      <w:tr w14:paraId="3205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14:paraId="257DA49B">
            <w:pPr>
              <w:pStyle w:val="3"/>
              <w:spacing w:line="300" w:lineRule="exact"/>
              <w:jc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sz w:val="24"/>
                <w:lang w:val="en-US" w:eastAsia="zh-CN"/>
              </w:rPr>
              <w:t>3</w:t>
            </w:r>
          </w:p>
        </w:tc>
        <w:tc>
          <w:tcPr>
            <w:tcW w:w="2010" w:type="dxa"/>
            <w:noWrap w:val="0"/>
            <w:vAlign w:val="center"/>
          </w:tcPr>
          <w:p w14:paraId="473A63F8">
            <w:pPr>
              <w:pStyle w:val="3"/>
              <w:spacing w:line="300" w:lineRule="exact"/>
              <w:jc w:val="center"/>
              <w:rPr>
                <w:rFonts w:ascii="Times New Roman" w:hAnsi="Times New Roman" w:eastAsia="仿宋"/>
                <w:color w:val="000000"/>
                <w:kern w:val="0"/>
                <w:sz w:val="24"/>
                <w:lang w:bidi="ar"/>
              </w:rPr>
            </w:pPr>
            <w:r>
              <w:rPr>
                <w:rFonts w:ascii="Times New Roman" w:hAnsi="Times New Roman" w:eastAsia="仿宋"/>
                <w:color w:val="000000"/>
                <w:kern w:val="0"/>
                <w:sz w:val="24"/>
                <w:lang w:bidi="ar"/>
              </w:rPr>
              <w:t>25mm口径</w:t>
            </w:r>
          </w:p>
          <w:p w14:paraId="5D6BC96E">
            <w:pPr>
              <w:pStyle w:val="3"/>
              <w:spacing w:line="300" w:lineRule="exact"/>
              <w:jc w:val="center"/>
              <w:rPr>
                <w:rFonts w:hint="default" w:ascii="Times New Roman" w:hAnsi="Times New Roman" w:eastAsia="仿宋" w:cs="Times New Roman"/>
                <w:i w:val="0"/>
                <w:iCs w:val="0"/>
                <w:color w:val="000000"/>
                <w:kern w:val="0"/>
                <w:sz w:val="24"/>
                <w:szCs w:val="24"/>
                <w:u w:val="none"/>
                <w:lang w:val="en-US" w:eastAsia="zh-CN" w:bidi="ar"/>
              </w:rPr>
            </w:pPr>
            <w:r>
              <w:rPr>
                <w:rFonts w:ascii="Times New Roman" w:hAnsi="Times New Roman" w:eastAsia="仿宋"/>
                <w:color w:val="000000"/>
                <w:kern w:val="0"/>
                <w:sz w:val="24"/>
                <w:lang w:bidi="ar"/>
              </w:rPr>
              <w:t>直通枪头</w:t>
            </w:r>
          </w:p>
        </w:tc>
        <w:tc>
          <w:tcPr>
            <w:tcW w:w="6285" w:type="dxa"/>
            <w:noWrap w:val="0"/>
            <w:vAlign w:val="center"/>
          </w:tcPr>
          <w:p w14:paraId="3C5895CA">
            <w:pPr>
              <w:widowControl/>
              <w:spacing w:line="300" w:lineRule="exact"/>
              <w:jc w:val="left"/>
              <w:rPr>
                <w:rFonts w:ascii="Times New Roman" w:hAnsi="Times New Roman" w:eastAsia="仿宋"/>
                <w:color w:val="000000"/>
                <w:kern w:val="0"/>
                <w:sz w:val="24"/>
                <w:lang w:bidi="ar"/>
              </w:rPr>
            </w:pPr>
            <w:r>
              <w:rPr>
                <w:rFonts w:ascii="Times New Roman" w:hAnsi="Times New Roman" w:eastAsia="仿宋"/>
                <w:color w:val="000000"/>
                <w:kern w:val="0"/>
                <w:sz w:val="24"/>
                <w:lang w:bidi="ar"/>
              </w:rPr>
              <w:t>1</w:t>
            </w:r>
            <w:r>
              <w:rPr>
                <w:rFonts w:hint="eastAsia" w:ascii="Times New Roman" w:hAnsi="Times New Roman" w:eastAsia="仿宋"/>
                <w:color w:val="000000"/>
                <w:kern w:val="0"/>
                <w:sz w:val="24"/>
                <w:lang w:bidi="ar"/>
              </w:rPr>
              <w:t>.</w:t>
            </w:r>
            <w:r>
              <w:rPr>
                <w:rFonts w:ascii="Times New Roman" w:hAnsi="Times New Roman" w:eastAsia="仿宋"/>
                <w:color w:val="000000"/>
                <w:kern w:val="0"/>
                <w:sz w:val="24"/>
                <w:lang w:bidi="ar"/>
              </w:rPr>
              <w:t>25mm口径</w:t>
            </w:r>
          </w:p>
          <w:p w14:paraId="58375262">
            <w:pPr>
              <w:widowControl/>
              <w:spacing w:line="300" w:lineRule="exact"/>
              <w:jc w:val="left"/>
              <w:rPr>
                <w:rFonts w:hint="default" w:ascii="Times New Roman" w:hAnsi="Times New Roman" w:eastAsia="仿宋" w:cs="Times New Roman"/>
                <w:i w:val="0"/>
                <w:iCs w:val="0"/>
                <w:color w:val="000000"/>
                <w:kern w:val="0"/>
                <w:sz w:val="24"/>
                <w:szCs w:val="24"/>
                <w:u w:val="none"/>
                <w:lang w:val="en-US" w:eastAsia="zh-CN" w:bidi="ar"/>
              </w:rPr>
            </w:pPr>
            <w:r>
              <w:rPr>
                <w:rFonts w:ascii="Times New Roman" w:hAnsi="Times New Roman" w:eastAsia="仿宋"/>
                <w:color w:val="000000"/>
                <w:kern w:val="0"/>
                <w:sz w:val="24"/>
                <w:lang w:bidi="ar"/>
              </w:rPr>
              <w:t>2</w:t>
            </w:r>
            <w:r>
              <w:rPr>
                <w:rFonts w:hint="eastAsia" w:ascii="Times New Roman" w:hAnsi="Times New Roman" w:eastAsia="仿宋"/>
                <w:color w:val="000000"/>
                <w:kern w:val="0"/>
                <w:sz w:val="24"/>
                <w:lang w:bidi="ar"/>
              </w:rPr>
              <w:t>.</w:t>
            </w:r>
            <w:r>
              <w:rPr>
                <w:rFonts w:ascii="Times New Roman" w:hAnsi="Times New Roman" w:eastAsia="仿宋"/>
                <w:color w:val="000000"/>
                <w:kern w:val="0"/>
                <w:sz w:val="24"/>
                <w:lang w:bidi="ar"/>
              </w:rPr>
              <w:t>产品特性：由铝合金铸造而成，并经表面静电喷塑处理，</w:t>
            </w:r>
            <w:r>
              <w:rPr>
                <w:rFonts w:hint="eastAsia" w:ascii="Times New Roman" w:hAnsi="Times New Roman" w:eastAsia="仿宋"/>
                <w:color w:val="000000"/>
                <w:kern w:val="0"/>
                <w:sz w:val="24"/>
                <w:lang w:bidi="ar"/>
              </w:rPr>
              <w:t>水枪出水口径为</w:t>
            </w:r>
            <w:r>
              <w:rPr>
                <w:rFonts w:hint="eastAsia" w:ascii="Times New Roman" w:hAnsi="Times New Roman" w:eastAsia="仿宋"/>
                <w:color w:val="000000"/>
                <w:kern w:val="0"/>
                <w:sz w:val="24"/>
                <w:lang w:val="en-US" w:eastAsia="zh-CN" w:bidi="ar"/>
              </w:rPr>
              <w:t>7</w:t>
            </w:r>
            <w:r>
              <w:rPr>
                <w:rFonts w:hint="eastAsia" w:ascii="Times New Roman" w:hAnsi="Times New Roman" w:eastAsia="仿宋"/>
                <w:color w:val="000000"/>
                <w:kern w:val="0"/>
                <w:sz w:val="24"/>
                <w:lang w:bidi="ar"/>
              </w:rPr>
              <w:t>.0mm,</w:t>
            </w:r>
            <w:r>
              <w:rPr>
                <w:rFonts w:hint="eastAsia" w:ascii="Times New Roman" w:hAnsi="Times New Roman" w:eastAsia="仿宋"/>
                <w:color w:val="000000"/>
                <w:kern w:val="0"/>
                <w:sz w:val="24"/>
                <w:lang w:val="en-US" w:eastAsia="zh-CN" w:bidi="ar"/>
              </w:rPr>
              <w:t>枪体、</w:t>
            </w:r>
            <w:r>
              <w:rPr>
                <w:rFonts w:hint="eastAsia" w:ascii="Times New Roman" w:hAnsi="Times New Roman" w:eastAsia="仿宋"/>
                <w:color w:val="000000"/>
                <w:kern w:val="0"/>
                <w:sz w:val="24"/>
                <w:lang w:bidi="ar"/>
              </w:rPr>
              <w:t>枪头为全金属材质，</w:t>
            </w:r>
            <w:r>
              <w:rPr>
                <w:rFonts w:hint="eastAsia" w:ascii="Times New Roman" w:hAnsi="Times New Roman" w:eastAsia="仿宋"/>
                <w:color w:val="000000"/>
                <w:kern w:val="0"/>
                <w:sz w:val="24"/>
                <w:lang w:val="en-US" w:eastAsia="zh-CN" w:bidi="ar"/>
              </w:rPr>
              <w:t>表面做防腐处理，</w:t>
            </w:r>
            <w:r>
              <w:rPr>
                <w:rFonts w:hint="eastAsia" w:ascii="Times New Roman" w:hAnsi="Times New Roman" w:eastAsia="仿宋"/>
                <w:color w:val="000000"/>
                <w:kern w:val="0"/>
                <w:sz w:val="24"/>
                <w:lang w:bidi="ar"/>
              </w:rPr>
              <w:t>水枪总长≥</w:t>
            </w:r>
            <w:r>
              <w:rPr>
                <w:rFonts w:hint="eastAsia" w:ascii="Times New Roman" w:hAnsi="Times New Roman" w:eastAsia="仿宋"/>
                <w:color w:val="000000"/>
                <w:kern w:val="0"/>
                <w:sz w:val="24"/>
                <w:lang w:val="en-US" w:eastAsia="zh-CN" w:bidi="ar"/>
              </w:rPr>
              <w:t>3</w:t>
            </w:r>
            <w:r>
              <w:rPr>
                <w:rFonts w:hint="eastAsia" w:ascii="Times New Roman" w:hAnsi="Times New Roman" w:eastAsia="仿宋"/>
                <w:color w:val="000000"/>
                <w:kern w:val="0"/>
                <w:sz w:val="24"/>
                <w:lang w:bidi="ar"/>
              </w:rPr>
              <w:t>00mm</w:t>
            </w:r>
            <w:r>
              <w:rPr>
                <w:rFonts w:hint="eastAsia" w:ascii="Times New Roman" w:hAnsi="Times New Roman" w:eastAsia="仿宋"/>
                <w:color w:val="000000"/>
                <w:kern w:val="0"/>
                <w:sz w:val="24"/>
                <w:lang w:eastAsia="zh-CN" w:bidi="ar"/>
              </w:rPr>
              <w:t>，</w:t>
            </w:r>
            <w:r>
              <w:rPr>
                <w:rFonts w:ascii="Times New Roman" w:hAnsi="Times New Roman" w:eastAsia="仿宋"/>
                <w:color w:val="000000"/>
                <w:kern w:val="0"/>
                <w:sz w:val="24"/>
                <w:lang w:bidi="ar"/>
              </w:rPr>
              <w:t>具有重量轻、强度高、耐腐蚀、连接灵活。</w:t>
            </w:r>
          </w:p>
        </w:tc>
        <w:tc>
          <w:tcPr>
            <w:tcW w:w="772" w:type="dxa"/>
            <w:noWrap w:val="0"/>
            <w:vAlign w:val="center"/>
          </w:tcPr>
          <w:p w14:paraId="12721813">
            <w:pPr>
              <w:pStyle w:val="3"/>
              <w:spacing w:line="300" w:lineRule="exact"/>
              <w:jc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olor w:val="000000"/>
                <w:kern w:val="0"/>
                <w:sz w:val="24"/>
                <w:lang w:val="en-US" w:eastAsia="zh-CN" w:bidi="ar"/>
              </w:rPr>
              <w:t>2</w:t>
            </w:r>
            <w:r>
              <w:rPr>
                <w:rFonts w:ascii="Times New Roman" w:hAnsi="Times New Roman" w:eastAsia="仿宋"/>
                <w:color w:val="000000"/>
                <w:kern w:val="0"/>
                <w:sz w:val="24"/>
                <w:lang w:bidi="ar"/>
              </w:rPr>
              <w:t>个</w:t>
            </w:r>
          </w:p>
        </w:tc>
      </w:tr>
      <w:tr w14:paraId="78CF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14:paraId="76C98ED4">
            <w:pPr>
              <w:pStyle w:val="3"/>
              <w:spacing w:line="300" w:lineRule="exact"/>
              <w:jc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sz w:val="24"/>
                <w:lang w:val="en-US" w:eastAsia="zh-CN"/>
              </w:rPr>
              <w:t>4</w:t>
            </w:r>
          </w:p>
        </w:tc>
        <w:tc>
          <w:tcPr>
            <w:tcW w:w="2010" w:type="dxa"/>
            <w:noWrap w:val="0"/>
            <w:vAlign w:val="center"/>
          </w:tcPr>
          <w:p w14:paraId="47D4D880">
            <w:pPr>
              <w:pStyle w:val="3"/>
              <w:spacing w:line="300" w:lineRule="exact"/>
              <w:jc w:val="center"/>
              <w:rPr>
                <w:rFonts w:hint="default" w:ascii="Times New Roman" w:hAnsi="Times New Roman" w:eastAsia="仿宋" w:cs="Times New Roman"/>
                <w:i w:val="0"/>
                <w:iCs w:val="0"/>
                <w:color w:val="000000"/>
                <w:kern w:val="0"/>
                <w:sz w:val="24"/>
                <w:szCs w:val="24"/>
                <w:u w:val="none"/>
                <w:lang w:val="en-US" w:eastAsia="zh-CN" w:bidi="ar"/>
              </w:rPr>
            </w:pPr>
            <w:r>
              <w:rPr>
                <w:rFonts w:ascii="Times New Roman" w:hAnsi="Times New Roman" w:eastAsia="仿宋"/>
                <w:color w:val="000000"/>
                <w:kern w:val="0"/>
                <w:sz w:val="24"/>
                <w:lang w:bidi="ar"/>
              </w:rPr>
              <w:t>40mm口径止</w:t>
            </w:r>
            <w:r>
              <w:rPr>
                <w:rFonts w:hint="eastAsia" w:ascii="Times New Roman" w:hAnsi="Times New Roman" w:eastAsia="仿宋"/>
                <w:color w:val="000000"/>
                <w:kern w:val="0"/>
                <w:sz w:val="24"/>
                <w:lang w:bidi="ar"/>
              </w:rPr>
              <w:t>回</w:t>
            </w:r>
            <w:r>
              <w:rPr>
                <w:rFonts w:ascii="Times New Roman" w:hAnsi="Times New Roman" w:eastAsia="仿宋"/>
                <w:color w:val="000000"/>
                <w:kern w:val="0"/>
                <w:sz w:val="24"/>
                <w:lang w:bidi="ar"/>
              </w:rPr>
              <w:t>阀</w:t>
            </w:r>
          </w:p>
        </w:tc>
        <w:tc>
          <w:tcPr>
            <w:tcW w:w="6285" w:type="dxa"/>
            <w:noWrap w:val="0"/>
            <w:vAlign w:val="center"/>
          </w:tcPr>
          <w:p w14:paraId="08ADF2F3">
            <w:pPr>
              <w:widowControl/>
              <w:spacing w:line="300" w:lineRule="exact"/>
              <w:jc w:val="left"/>
              <w:rPr>
                <w:rFonts w:ascii="Times New Roman" w:hAnsi="Times New Roman" w:eastAsia="仿宋"/>
                <w:color w:val="000000"/>
                <w:kern w:val="0"/>
                <w:sz w:val="24"/>
                <w:lang w:bidi="ar"/>
              </w:rPr>
            </w:pPr>
            <w:r>
              <w:rPr>
                <w:rFonts w:ascii="Times New Roman" w:hAnsi="Times New Roman" w:eastAsia="仿宋"/>
                <w:color w:val="000000"/>
                <w:kern w:val="0"/>
                <w:sz w:val="24"/>
                <w:lang w:bidi="ar"/>
              </w:rPr>
              <w:t>1</w:t>
            </w:r>
            <w:r>
              <w:rPr>
                <w:rFonts w:hint="eastAsia" w:ascii="Times New Roman" w:hAnsi="Times New Roman" w:eastAsia="仿宋"/>
                <w:color w:val="000000"/>
                <w:kern w:val="0"/>
                <w:sz w:val="24"/>
                <w:lang w:bidi="ar"/>
              </w:rPr>
              <w:t>.</w:t>
            </w:r>
            <w:r>
              <w:rPr>
                <w:rFonts w:ascii="Times New Roman" w:hAnsi="Times New Roman" w:eastAsia="仿宋"/>
                <w:color w:val="000000"/>
                <w:kern w:val="0"/>
                <w:sz w:val="24"/>
                <w:lang w:bidi="ar"/>
              </w:rPr>
              <w:t>40mm口径</w:t>
            </w:r>
          </w:p>
          <w:p w14:paraId="73EA7799">
            <w:pPr>
              <w:widowControl/>
              <w:spacing w:line="300" w:lineRule="exact"/>
              <w:jc w:val="left"/>
              <w:rPr>
                <w:rFonts w:hint="eastAsia" w:ascii="Times New Roman" w:hAnsi="Times New Roman" w:eastAsia="仿宋"/>
                <w:color w:val="000000"/>
                <w:kern w:val="0"/>
                <w:sz w:val="24"/>
                <w:lang w:val="en-US" w:eastAsia="zh-CN" w:bidi="ar"/>
              </w:rPr>
            </w:pPr>
            <w:r>
              <w:rPr>
                <w:rFonts w:ascii="Times New Roman" w:hAnsi="Times New Roman" w:eastAsia="仿宋"/>
                <w:color w:val="000000"/>
                <w:kern w:val="0"/>
                <w:sz w:val="24"/>
                <w:lang w:bidi="ar"/>
              </w:rPr>
              <w:t>2</w:t>
            </w:r>
            <w:r>
              <w:rPr>
                <w:rFonts w:hint="eastAsia" w:ascii="Times New Roman" w:hAnsi="Times New Roman" w:eastAsia="仿宋"/>
                <w:color w:val="000000"/>
                <w:kern w:val="0"/>
                <w:sz w:val="24"/>
                <w:lang w:bidi="ar"/>
              </w:rPr>
              <w:t>.</w:t>
            </w:r>
            <w:r>
              <w:rPr>
                <w:rFonts w:hint="eastAsia" w:ascii="Times New Roman" w:hAnsi="Times New Roman" w:eastAsia="仿宋"/>
                <w:color w:val="000000"/>
                <w:kern w:val="0"/>
                <w:sz w:val="24"/>
                <w:lang w:val="en-US" w:eastAsia="zh-CN" w:bidi="ar"/>
              </w:rPr>
              <w:t>材质：阀体为铝合金,表面红色阳极氧化处理；阀芯为 304 不锈钢；</w:t>
            </w:r>
          </w:p>
          <w:p w14:paraId="4DAB465A">
            <w:pPr>
              <w:widowControl/>
              <w:spacing w:line="300" w:lineRule="exact"/>
              <w:jc w:val="left"/>
              <w:rPr>
                <w:rFonts w:hint="eastAsia" w:ascii="Times New Roman" w:hAnsi="Times New Roman" w:eastAsia="仿宋"/>
                <w:color w:val="000000"/>
                <w:kern w:val="0"/>
                <w:sz w:val="24"/>
                <w:lang w:val="en-US" w:eastAsia="zh-CN" w:bidi="ar"/>
              </w:rPr>
            </w:pPr>
            <w:r>
              <w:rPr>
                <w:rFonts w:hint="eastAsia" w:ascii="Times New Roman" w:hAnsi="Times New Roman" w:eastAsia="仿宋"/>
                <w:color w:val="000000"/>
                <w:kern w:val="0"/>
                <w:sz w:val="24"/>
                <w:lang w:val="en-US" w:eastAsia="zh-CN" w:bidi="ar"/>
              </w:rPr>
              <w:t>3.规格（长宽高）：255mm x 80mm x 125mm；</w:t>
            </w:r>
          </w:p>
          <w:p w14:paraId="55358147">
            <w:pPr>
              <w:widowControl/>
              <w:spacing w:line="300" w:lineRule="exact"/>
              <w:jc w:val="left"/>
              <w:rPr>
                <w:rFonts w:hint="eastAsia" w:ascii="Times New Roman" w:hAnsi="Times New Roman" w:eastAsia="仿宋"/>
                <w:color w:val="000000"/>
                <w:kern w:val="0"/>
                <w:sz w:val="24"/>
                <w:lang w:val="en-US" w:eastAsia="zh-CN" w:bidi="ar"/>
              </w:rPr>
            </w:pPr>
            <w:r>
              <w:rPr>
                <w:rFonts w:hint="eastAsia" w:ascii="Times New Roman" w:hAnsi="Times New Roman" w:eastAsia="仿宋"/>
                <w:color w:val="000000"/>
                <w:kern w:val="0"/>
                <w:sz w:val="24"/>
                <w:lang w:val="en-US" w:eastAsia="zh-CN" w:bidi="ar"/>
              </w:rPr>
              <w:t>放水口阀门规格：1/2"；进出水口为40mm；</w:t>
            </w:r>
          </w:p>
          <w:p w14:paraId="6B365E7E">
            <w:pPr>
              <w:widowControl/>
              <w:spacing w:line="300" w:lineRule="exact"/>
              <w:jc w:val="left"/>
              <w:rPr>
                <w:rFonts w:hint="eastAsia" w:ascii="Times New Roman" w:hAnsi="Times New Roman" w:eastAsia="仿宋"/>
                <w:color w:val="000000"/>
                <w:kern w:val="0"/>
                <w:sz w:val="24"/>
                <w:lang w:val="en-US" w:eastAsia="zh-CN" w:bidi="ar"/>
              </w:rPr>
            </w:pPr>
            <w:r>
              <w:rPr>
                <w:rFonts w:hint="eastAsia" w:ascii="Times New Roman" w:hAnsi="Times New Roman" w:eastAsia="仿宋"/>
                <w:color w:val="000000"/>
                <w:kern w:val="0"/>
                <w:sz w:val="24"/>
                <w:lang w:val="en-US" w:eastAsia="zh-CN" w:bidi="ar"/>
              </w:rPr>
              <w:t>4.最大通过流量：450L/min；</w:t>
            </w:r>
          </w:p>
          <w:p w14:paraId="1D759EAA">
            <w:pPr>
              <w:widowControl/>
              <w:spacing w:line="300" w:lineRule="exact"/>
              <w:jc w:val="left"/>
              <w:rPr>
                <w:rFonts w:hint="eastAsia" w:ascii="Times New Roman" w:hAnsi="Times New Roman" w:eastAsia="仿宋"/>
                <w:color w:val="000000"/>
                <w:kern w:val="0"/>
                <w:sz w:val="24"/>
                <w:lang w:val="en-US" w:eastAsia="zh-CN" w:bidi="ar"/>
              </w:rPr>
            </w:pPr>
            <w:r>
              <w:rPr>
                <w:rFonts w:hint="eastAsia" w:ascii="Times New Roman" w:hAnsi="Times New Roman" w:eastAsia="仿宋"/>
                <w:color w:val="000000"/>
                <w:kern w:val="0"/>
                <w:sz w:val="24"/>
                <w:lang w:val="en-US" w:eastAsia="zh-CN" w:bidi="ar"/>
              </w:rPr>
              <w:t>5.耐压：≥10MPa；</w:t>
            </w:r>
          </w:p>
          <w:p w14:paraId="6A6F6CAF">
            <w:pPr>
              <w:widowControl/>
              <w:spacing w:line="300" w:lineRule="exact"/>
              <w:jc w:val="left"/>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olor w:val="000000"/>
                <w:kern w:val="0"/>
                <w:sz w:val="24"/>
                <w:lang w:val="en-US" w:eastAsia="zh-CN" w:bidi="ar"/>
              </w:rPr>
              <w:t>6.净重量：≤2.3kg。</w:t>
            </w:r>
          </w:p>
        </w:tc>
        <w:tc>
          <w:tcPr>
            <w:tcW w:w="772" w:type="dxa"/>
            <w:noWrap w:val="0"/>
            <w:vAlign w:val="center"/>
          </w:tcPr>
          <w:p w14:paraId="7F08F007">
            <w:pPr>
              <w:pStyle w:val="3"/>
              <w:spacing w:line="300" w:lineRule="exact"/>
              <w:jc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olor w:val="000000"/>
                <w:kern w:val="0"/>
                <w:sz w:val="24"/>
                <w:lang w:val="en-US" w:eastAsia="zh-CN" w:bidi="ar"/>
              </w:rPr>
              <w:t>1</w:t>
            </w:r>
            <w:r>
              <w:rPr>
                <w:rFonts w:ascii="Times New Roman" w:hAnsi="Times New Roman" w:eastAsia="仿宋"/>
                <w:color w:val="000000"/>
                <w:kern w:val="0"/>
                <w:sz w:val="24"/>
                <w:lang w:bidi="ar"/>
              </w:rPr>
              <w:t>个</w:t>
            </w:r>
          </w:p>
        </w:tc>
      </w:tr>
      <w:tr w14:paraId="0DD5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14:paraId="6F647045">
            <w:pPr>
              <w:pStyle w:val="3"/>
              <w:spacing w:line="300" w:lineRule="exact"/>
              <w:jc w:val="center"/>
              <w:rPr>
                <w:rFonts w:hint="default" w:ascii="Times New Roman" w:hAnsi="Times New Roman" w:eastAsia="仿宋"/>
                <w:sz w:val="24"/>
                <w:lang w:val="en-US" w:eastAsia="zh-CN"/>
              </w:rPr>
            </w:pPr>
            <w:r>
              <w:rPr>
                <w:rFonts w:hint="eastAsia" w:eastAsia="仿宋"/>
                <w:sz w:val="24"/>
                <w:lang w:val="en-US" w:eastAsia="zh-CN"/>
              </w:rPr>
              <w:t>5</w:t>
            </w:r>
          </w:p>
        </w:tc>
        <w:tc>
          <w:tcPr>
            <w:tcW w:w="2010" w:type="dxa"/>
            <w:noWrap w:val="0"/>
            <w:vAlign w:val="center"/>
          </w:tcPr>
          <w:p w14:paraId="3323E2BA">
            <w:pPr>
              <w:pStyle w:val="3"/>
              <w:spacing w:line="300" w:lineRule="exact"/>
              <w:jc w:val="center"/>
              <w:rPr>
                <w:rFonts w:hint="eastAsia" w:ascii="Times New Roman" w:hAnsi="Times New Roman" w:eastAsia="仿宋"/>
                <w:color w:val="000000"/>
                <w:kern w:val="0"/>
                <w:sz w:val="24"/>
                <w:lang w:eastAsia="zh-CN" w:bidi="ar"/>
              </w:rPr>
            </w:pPr>
            <w:r>
              <w:rPr>
                <w:rFonts w:hint="eastAsia" w:eastAsia="仿宋"/>
                <w:color w:val="000000"/>
                <w:kern w:val="0"/>
                <w:sz w:val="24"/>
                <w:lang w:eastAsia="zh-CN" w:bidi="ar"/>
              </w:rPr>
              <w:t>其他事项</w:t>
            </w:r>
          </w:p>
        </w:tc>
        <w:tc>
          <w:tcPr>
            <w:tcW w:w="6285" w:type="dxa"/>
            <w:noWrap w:val="0"/>
            <w:vAlign w:val="center"/>
          </w:tcPr>
          <w:p w14:paraId="2977EE4C">
            <w:pPr>
              <w:widowControl/>
              <w:spacing w:line="300" w:lineRule="exact"/>
              <w:jc w:val="left"/>
              <w:rPr>
                <w:rFonts w:hint="eastAsia" w:ascii="Times New Roman" w:hAnsi="Times New Roman" w:eastAsia="仿宋"/>
                <w:color w:val="000000"/>
                <w:kern w:val="0"/>
                <w:sz w:val="24"/>
                <w:lang w:val="en-US" w:eastAsia="zh-CN" w:bidi="ar"/>
              </w:rPr>
            </w:pPr>
            <w:r>
              <w:rPr>
                <w:rFonts w:hint="eastAsia" w:ascii="Times New Roman" w:hAnsi="Times New Roman" w:eastAsia="仿宋"/>
                <w:color w:val="000000"/>
                <w:kern w:val="0"/>
                <w:sz w:val="24"/>
                <w:lang w:val="en-US" w:eastAsia="zh-CN" w:bidi="ar"/>
              </w:rPr>
              <w:t>▲1.投标时提供远程高压供水消防泵产品实物图片、技术参数、检验报告复印件（原件待查）。</w:t>
            </w:r>
          </w:p>
          <w:p w14:paraId="464E5E3C">
            <w:pPr>
              <w:widowControl/>
              <w:spacing w:line="300" w:lineRule="exact"/>
              <w:jc w:val="left"/>
              <w:rPr>
                <w:rFonts w:hint="default" w:ascii="Times New Roman" w:hAnsi="Times New Roman" w:eastAsia="仿宋"/>
                <w:color w:val="000000"/>
                <w:kern w:val="0"/>
                <w:sz w:val="24"/>
                <w:lang w:val="en-US" w:eastAsia="zh-CN" w:bidi="ar"/>
              </w:rPr>
            </w:pPr>
            <w:r>
              <w:rPr>
                <w:rFonts w:hint="eastAsia" w:ascii="Times New Roman" w:hAnsi="Times New Roman" w:eastAsia="仿宋"/>
                <w:color w:val="000000"/>
                <w:kern w:val="0"/>
                <w:sz w:val="24"/>
                <w:lang w:val="en-US" w:eastAsia="zh-CN" w:bidi="ar"/>
              </w:rPr>
              <w:t>2.</w:t>
            </w:r>
            <w:r>
              <w:rPr>
                <w:rFonts w:hint="default" w:ascii="Times New Roman" w:hAnsi="Times New Roman" w:eastAsia="仿宋"/>
                <w:color w:val="000000"/>
                <w:kern w:val="0"/>
                <w:sz w:val="24"/>
                <w:lang w:val="en-US" w:eastAsia="zh-CN" w:bidi="ar"/>
              </w:rPr>
              <w:t>拆除原有车辆泵组并将以上泵组安装于原车上，包括泵组固定、管路连接、滤网安装、系统调式、培训。</w:t>
            </w:r>
          </w:p>
          <w:p w14:paraId="00D77982">
            <w:pPr>
              <w:widowControl/>
              <w:spacing w:line="300" w:lineRule="exact"/>
              <w:jc w:val="left"/>
              <w:rPr>
                <w:rFonts w:hint="default" w:ascii="Times New Roman" w:hAnsi="Times New Roman" w:eastAsia="仿宋"/>
                <w:color w:val="000000"/>
                <w:kern w:val="0"/>
                <w:sz w:val="24"/>
                <w:lang w:val="en-US" w:eastAsia="zh-CN" w:bidi="ar"/>
              </w:rPr>
            </w:pPr>
            <w:r>
              <w:rPr>
                <w:rFonts w:hint="eastAsia" w:ascii="Times New Roman" w:hAnsi="Times New Roman" w:eastAsia="仿宋"/>
                <w:color w:val="000000"/>
                <w:kern w:val="0"/>
                <w:sz w:val="24"/>
                <w:lang w:val="en-US" w:eastAsia="zh-CN" w:bidi="ar"/>
              </w:rPr>
              <w:t>3.</w:t>
            </w:r>
            <w:r>
              <w:rPr>
                <w:rFonts w:hint="default" w:ascii="Times New Roman" w:hAnsi="Times New Roman" w:eastAsia="仿宋"/>
                <w:color w:val="000000"/>
                <w:kern w:val="0"/>
                <w:sz w:val="24"/>
                <w:lang w:val="en-US" w:eastAsia="zh-CN" w:bidi="ar"/>
              </w:rPr>
              <w:t>更换转速表、远程油门控制器及相应的电器配件。</w:t>
            </w:r>
          </w:p>
          <w:p w14:paraId="30A9E547">
            <w:pPr>
              <w:widowControl/>
              <w:spacing w:line="300" w:lineRule="exact"/>
              <w:jc w:val="left"/>
              <w:rPr>
                <w:rFonts w:hint="default"/>
                <w:sz w:val="24"/>
                <w:szCs w:val="24"/>
                <w:lang w:val="en-US" w:eastAsia="zh-CN"/>
              </w:rPr>
            </w:pPr>
            <w:r>
              <w:rPr>
                <w:rFonts w:hint="eastAsia" w:ascii="Times New Roman" w:hAnsi="Times New Roman" w:eastAsia="仿宋"/>
                <w:color w:val="000000"/>
                <w:kern w:val="0"/>
                <w:sz w:val="24"/>
                <w:lang w:val="en-US" w:eastAsia="zh-CN" w:bidi="ar"/>
              </w:rPr>
              <w:t>4.</w:t>
            </w:r>
            <w:r>
              <w:rPr>
                <w:rFonts w:hint="default" w:ascii="Times New Roman" w:hAnsi="Times New Roman" w:eastAsia="仿宋"/>
                <w:color w:val="000000"/>
                <w:kern w:val="0"/>
                <w:sz w:val="24"/>
                <w:lang w:val="en-US" w:eastAsia="zh-CN" w:bidi="ar"/>
              </w:rPr>
              <w:t>面板提供新供水系统操作使用说明、注意事项、维护保养等指示标牌。</w:t>
            </w:r>
          </w:p>
        </w:tc>
        <w:tc>
          <w:tcPr>
            <w:tcW w:w="772" w:type="dxa"/>
            <w:noWrap w:val="0"/>
            <w:vAlign w:val="center"/>
          </w:tcPr>
          <w:p w14:paraId="4146475C">
            <w:pPr>
              <w:pStyle w:val="3"/>
              <w:spacing w:line="300" w:lineRule="exact"/>
              <w:jc w:val="center"/>
              <w:rPr>
                <w:rFonts w:hint="eastAsia" w:ascii="Times New Roman" w:hAnsi="Times New Roman" w:eastAsia="仿宋"/>
                <w:color w:val="000000"/>
                <w:kern w:val="0"/>
                <w:sz w:val="24"/>
                <w:lang w:val="en-US" w:eastAsia="zh-CN" w:bidi="ar"/>
              </w:rPr>
            </w:pPr>
          </w:p>
        </w:tc>
      </w:tr>
    </w:tbl>
    <w:p w14:paraId="74D42AF0">
      <w:pPr>
        <w:keepNext w:val="0"/>
        <w:keepLines w:val="0"/>
        <w:pageBreakBefore w:val="0"/>
        <w:widowControl w:val="0"/>
        <w:kinsoku/>
        <w:wordWrap/>
        <w:overflowPunct/>
        <w:topLinePunct w:val="0"/>
        <w:autoSpaceDE/>
        <w:autoSpaceDN/>
        <w:bidi w:val="0"/>
        <w:adjustRightInd/>
        <w:snapToGrid/>
        <w:spacing w:line="575" w:lineRule="exact"/>
        <w:ind w:firstLine="643" w:firstLineChars="200"/>
        <w:rPr>
          <w:rFonts w:hint="eastAsia" w:eastAsia="仿宋"/>
          <w:b/>
          <w:bCs/>
          <w:lang w:eastAsia="zh-CN"/>
        </w:rPr>
      </w:pPr>
      <w:r>
        <w:rPr>
          <w:rFonts w:hint="eastAsia" w:ascii="Times New Roman" w:hAnsi="Times New Roman" w:eastAsia="仿宋" w:cs="Times New Roman"/>
          <w:b/>
          <w:bCs/>
          <w:color w:val="auto"/>
          <w:sz w:val="32"/>
          <w:szCs w:val="32"/>
          <w:lang w:eastAsia="zh-CN"/>
        </w:rPr>
        <w:t>说明：</w:t>
      </w:r>
      <w:r>
        <w:rPr>
          <w:rFonts w:hint="eastAsia" w:ascii="仿宋" w:hAnsi="仿宋" w:eastAsia="仿宋" w:cs="仿宋"/>
          <w:b/>
          <w:bCs/>
          <w:color w:val="auto"/>
          <w:sz w:val="32"/>
          <w:szCs w:val="32"/>
        </w:rPr>
        <w:t>本</w:t>
      </w:r>
      <w:r>
        <w:rPr>
          <w:rFonts w:hint="eastAsia" w:ascii="仿宋" w:hAnsi="仿宋" w:eastAsia="仿宋" w:cs="仿宋"/>
          <w:b/>
          <w:bCs/>
          <w:color w:val="auto"/>
          <w:sz w:val="32"/>
          <w:szCs w:val="32"/>
          <w:lang w:eastAsia="zh-CN"/>
        </w:rPr>
        <w:t>表</w:t>
      </w:r>
      <w:r>
        <w:rPr>
          <w:rFonts w:hint="eastAsia" w:ascii="仿宋" w:hAnsi="仿宋" w:eastAsia="仿宋" w:cs="仿宋"/>
          <w:b/>
          <w:bCs/>
          <w:color w:val="auto"/>
          <w:sz w:val="32"/>
          <w:szCs w:val="32"/>
        </w:rPr>
        <w:t>要求的技术指标中，带“▲”标</w:t>
      </w:r>
      <w:r>
        <w:rPr>
          <w:rFonts w:hint="eastAsia" w:ascii="仿宋" w:hAnsi="仿宋" w:eastAsia="仿宋" w:cs="仿宋"/>
          <w:b/>
          <w:bCs/>
          <w:color w:val="auto"/>
          <w:sz w:val="32"/>
          <w:szCs w:val="32"/>
          <w:lang w:val="en-US" w:eastAsia="zh-CN"/>
        </w:rPr>
        <w:t>注号为重要条款，</w:t>
      </w:r>
      <w:r>
        <w:rPr>
          <w:rFonts w:hint="eastAsia" w:ascii="仿宋" w:hAnsi="仿宋" w:eastAsia="仿宋" w:cs="仿宋"/>
          <w:b/>
          <w:bCs/>
          <w:color w:val="auto"/>
          <w:sz w:val="32"/>
          <w:szCs w:val="32"/>
        </w:rPr>
        <w:t>要求满足或者优于以上技术参数要求，</w:t>
      </w:r>
      <w:r>
        <w:rPr>
          <w:rFonts w:hint="eastAsia" w:ascii="仿宋" w:hAnsi="仿宋" w:eastAsia="仿宋" w:cs="仿宋"/>
          <w:b/>
          <w:bCs/>
          <w:color w:val="auto"/>
          <w:sz w:val="32"/>
          <w:szCs w:val="32"/>
          <w:lang w:val="en-US" w:eastAsia="zh-CN"/>
        </w:rPr>
        <w:t>不满足将导致评审扣分。</w:t>
      </w:r>
    </w:p>
    <w:p w14:paraId="28E89483">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lang w:val="en-US" w:eastAsia="zh-CN"/>
        </w:rPr>
        <w:t>三</w:t>
      </w:r>
      <w:r>
        <w:rPr>
          <w:rFonts w:hint="default" w:ascii="Times New Roman" w:hAnsi="Times New Roman" w:eastAsia="楷体" w:cs="Times New Roman"/>
          <w:b w:val="0"/>
          <w:bCs w:val="0"/>
          <w:color w:val="auto"/>
          <w:sz w:val="32"/>
          <w:szCs w:val="32"/>
          <w:lang w:eastAsia="zh-CN"/>
        </w:rPr>
        <w:t>）验收</w:t>
      </w:r>
      <w:r>
        <w:rPr>
          <w:rFonts w:hint="default" w:ascii="Times New Roman" w:hAnsi="Times New Roman" w:eastAsia="楷体" w:cs="Times New Roman"/>
          <w:b w:val="0"/>
          <w:bCs w:val="0"/>
          <w:color w:val="auto"/>
          <w:sz w:val="32"/>
          <w:szCs w:val="32"/>
          <w:lang w:val="en-US" w:eastAsia="zh-CN"/>
        </w:rPr>
        <w:t>要求</w:t>
      </w:r>
    </w:p>
    <w:p w14:paraId="08CC3D54">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到货验收：设备到货验收前，成交供应商应提供材料设备清单、设备原厂证明、产品合格证、材料自检证明、装箱单等资料。验收的内容主要包括：满足合同对包装的要求；外观良好，运输途中未受损；编号、数量和名称与合同要求的货物清单核实无误。所有的验收都满足合同的要求时方可办理交接手续，同时出具设备交接单。交接单由采购人、成交供应商的代表签字</w:t>
      </w:r>
      <w:r>
        <w:rPr>
          <w:rFonts w:hint="eastAsia" w:ascii="Times New Roman" w:hAnsi="Times New Roman" w:eastAsia="仿宋" w:cs="Times New Roman"/>
          <w:sz w:val="32"/>
          <w:szCs w:val="32"/>
          <w:lang w:eastAsia="zh-CN"/>
        </w:rPr>
        <w:t>。</w:t>
      </w:r>
    </w:p>
    <w:p w14:paraId="521FF08D">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验收方式按</w:t>
      </w:r>
      <w:r>
        <w:rPr>
          <w:rFonts w:hint="default" w:ascii="Times New Roman" w:hAnsi="Times New Roman" w:eastAsia="仿宋" w:cs="Times New Roman"/>
          <w:sz w:val="32"/>
          <w:szCs w:val="32"/>
          <w:lang w:val="en-US" w:eastAsia="zh-CN"/>
        </w:rPr>
        <w:t>磋商</w:t>
      </w:r>
      <w:r>
        <w:rPr>
          <w:rFonts w:hint="default" w:ascii="Times New Roman" w:hAnsi="Times New Roman" w:eastAsia="仿宋" w:cs="Times New Roman"/>
          <w:sz w:val="32"/>
          <w:szCs w:val="32"/>
        </w:rPr>
        <w:t>文件、合同以及项目执行期间其它相关文件和备忘录等进行验收。成交供应商必须响应并提出验收方案和验收文档清单。成交供应商应负责在项目验收时将系统的全部有关产品说明书、原厂家安装手册、测试报告、验收报告以及设备号清单等文档汇集成册交付采购人</w:t>
      </w:r>
      <w:r>
        <w:rPr>
          <w:rFonts w:hint="eastAsia" w:ascii="Times New Roman" w:hAnsi="Times New Roman" w:eastAsia="仿宋" w:cs="Times New Roman"/>
          <w:sz w:val="32"/>
          <w:szCs w:val="32"/>
          <w:lang w:val="en-US" w:eastAsia="zh-CN"/>
        </w:rPr>
        <w:t>。</w:t>
      </w:r>
    </w:p>
    <w:p w14:paraId="11A09CCF">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验收由采购人与成交供应商及相关人员依照国家有关标准、</w:t>
      </w:r>
      <w:r>
        <w:rPr>
          <w:rFonts w:hint="default" w:ascii="Times New Roman" w:hAnsi="Times New Roman" w:eastAsia="仿宋" w:cs="Times New Roman"/>
          <w:sz w:val="32"/>
          <w:szCs w:val="32"/>
          <w:lang w:val="en-US" w:eastAsia="zh-CN"/>
        </w:rPr>
        <w:t>磋商</w:t>
      </w:r>
      <w:r>
        <w:rPr>
          <w:rFonts w:hint="default" w:ascii="Times New Roman" w:hAnsi="Times New Roman" w:eastAsia="仿宋" w:cs="Times New Roman"/>
          <w:sz w:val="32"/>
          <w:szCs w:val="32"/>
        </w:rPr>
        <w:t>文件、</w:t>
      </w:r>
      <w:r>
        <w:rPr>
          <w:rFonts w:hint="default" w:ascii="Times New Roman" w:hAnsi="Times New Roman" w:eastAsia="仿宋" w:cs="Times New Roman"/>
          <w:sz w:val="32"/>
          <w:szCs w:val="32"/>
          <w:lang w:val="en-US" w:eastAsia="zh-CN"/>
        </w:rPr>
        <w:t>响应</w:t>
      </w:r>
      <w:r>
        <w:rPr>
          <w:rFonts w:hint="default" w:ascii="Times New Roman" w:hAnsi="Times New Roman" w:eastAsia="仿宋" w:cs="Times New Roman"/>
          <w:sz w:val="32"/>
          <w:szCs w:val="32"/>
        </w:rPr>
        <w:t>文件、合同及有关附件要求现场进行。如果达不到验收标准要求，成交供应商须在与采购人共同协商确定后按要求进行修改直到达到要求为止。</w:t>
      </w:r>
    </w:p>
    <w:p w14:paraId="55504533">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Times New Roman" w:hAnsi="Times New Roman" w:eastAsia="楷体" w:cs="Times New Roman"/>
          <w:b w:val="0"/>
          <w:bCs w:val="0"/>
          <w:color w:val="auto"/>
          <w:sz w:val="32"/>
          <w:szCs w:val="32"/>
          <w:lang w:eastAsia="zh-CN"/>
        </w:rPr>
      </w:pPr>
      <w:r>
        <w:rPr>
          <w:rFonts w:hint="default" w:ascii="Times New Roman" w:hAnsi="Times New Roman" w:eastAsia="楷体" w:cs="Times New Roman"/>
          <w:b w:val="0"/>
          <w:bCs w:val="0"/>
          <w:color w:val="auto"/>
          <w:sz w:val="32"/>
          <w:szCs w:val="32"/>
          <w:lang w:eastAsia="zh-CN"/>
        </w:rPr>
        <w:t>（</w:t>
      </w:r>
      <w:r>
        <w:rPr>
          <w:rFonts w:hint="eastAsia" w:ascii="Times New Roman" w:hAnsi="Times New Roman" w:eastAsia="楷体" w:cs="Times New Roman"/>
          <w:b w:val="0"/>
          <w:bCs w:val="0"/>
          <w:color w:val="auto"/>
          <w:sz w:val="32"/>
          <w:szCs w:val="32"/>
          <w:lang w:val="en-US" w:eastAsia="zh-CN"/>
        </w:rPr>
        <w:t>四</w:t>
      </w:r>
      <w:r>
        <w:rPr>
          <w:rFonts w:hint="default" w:ascii="Times New Roman" w:hAnsi="Times New Roman" w:eastAsia="楷体" w:cs="Times New Roman"/>
          <w:b w:val="0"/>
          <w:bCs w:val="0"/>
          <w:color w:val="auto"/>
          <w:sz w:val="32"/>
          <w:szCs w:val="32"/>
          <w:lang w:eastAsia="zh-CN"/>
        </w:rPr>
        <w:t>）培训要求</w:t>
      </w:r>
    </w:p>
    <w:p w14:paraId="5A549291">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575" w:lineRule="exact"/>
        <w:ind w:leftChars="0" w:firstLine="640" w:firstLineChars="200"/>
        <w:rPr>
          <w:rFonts w:hint="eastAsia"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rPr>
        <w:t>1</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rPr>
        <w:t>培训地点：采购人指定地点</w:t>
      </w:r>
      <w:r>
        <w:rPr>
          <w:rFonts w:hint="eastAsia" w:ascii="Times New Roman" w:hAnsi="Times New Roman" w:eastAsia="仿宋" w:cs="Times New Roman"/>
          <w:color w:val="000000"/>
          <w:sz w:val="32"/>
          <w:szCs w:val="32"/>
          <w:lang w:eastAsia="zh-CN"/>
        </w:rPr>
        <w:t>。</w:t>
      </w:r>
    </w:p>
    <w:p w14:paraId="57CC05DC">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575" w:lineRule="exact"/>
        <w:ind w:leftChars="0"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rPr>
        <w:t>要求供应商免费负责提供有关设备功能、安装、操作、维护等培训；安装调试完成并交付使用后一星期内提供由工程师授课的技术培训和提供书面培训资料；</w:t>
      </w:r>
    </w:p>
    <w:p w14:paraId="4728F135">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575" w:lineRule="exact"/>
        <w:ind w:leftChars="0"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3</w:t>
      </w:r>
      <w:r>
        <w:rPr>
          <w:rFonts w:hint="eastAsia"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eastAsia="zh-CN"/>
        </w:rPr>
        <w:t>被培训人员</w:t>
      </w:r>
      <w:r>
        <w:rPr>
          <w:rFonts w:hint="default" w:ascii="Times New Roman" w:hAnsi="Times New Roman" w:eastAsia="仿宋" w:cs="Times New Roman"/>
          <w:color w:val="000000"/>
          <w:sz w:val="32"/>
          <w:szCs w:val="32"/>
        </w:rPr>
        <w:t>经过培训后，能充分了解设备的原理和流程，能熟练地掌握操作方法，并能及时排除部分设备故障。</w:t>
      </w:r>
    </w:p>
    <w:p w14:paraId="5F38DEDA">
      <w:pPr>
        <w:pStyle w:val="3"/>
        <w:ind w:firstLine="640" w:firstLineChars="200"/>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4.供应商应按照采购人需求提供每年至少一次的培训服务。</w:t>
      </w:r>
    </w:p>
    <w:p w14:paraId="35C1C0E5">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（五）售后服务要求</w:t>
      </w:r>
    </w:p>
    <w:p w14:paraId="71058332">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Times New Roman" w:hAnsi="Times New Roman" w:eastAsia="仿宋" w:cs="Times New Roman"/>
          <w:bCs/>
          <w:color w:val="auto"/>
          <w:sz w:val="32"/>
          <w:szCs w:val="32"/>
        </w:rPr>
      </w:pP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供应商所投</w:t>
      </w:r>
      <w:r>
        <w:rPr>
          <w:rFonts w:hint="default" w:ascii="Times New Roman" w:hAnsi="Times New Roman" w:eastAsia="仿宋" w:cs="Times New Roman"/>
          <w:color w:val="auto"/>
          <w:sz w:val="32"/>
          <w:szCs w:val="32"/>
        </w:rPr>
        <w:t>产品从验收合格之日起计</w:t>
      </w:r>
      <w:r>
        <w:rPr>
          <w:rFonts w:hint="default" w:ascii="Times New Roman" w:hAnsi="Times New Roman" w:eastAsia="仿宋" w:cs="Times New Roman"/>
          <w:color w:val="auto"/>
          <w:sz w:val="32"/>
          <w:szCs w:val="32"/>
          <w:lang w:val="en-US" w:eastAsia="zh-CN"/>
        </w:rPr>
        <w:t>售后服务质保期</w:t>
      </w:r>
      <w:r>
        <w:rPr>
          <w:rFonts w:hint="eastAsia" w:eastAsia="仿宋" w:cs="Times New Roman"/>
          <w:color w:val="auto"/>
          <w:sz w:val="32"/>
          <w:szCs w:val="32"/>
          <w:lang w:val="en-US" w:eastAsia="zh-CN"/>
        </w:rPr>
        <w:t>两</w:t>
      </w:r>
      <w:bookmarkStart w:id="2" w:name="_GoBack"/>
      <w:bookmarkEnd w:id="2"/>
      <w:r>
        <w:rPr>
          <w:rFonts w:hint="default" w:ascii="Times New Roman" w:hAnsi="Times New Roman" w:eastAsia="仿宋" w:cs="Times New Roman"/>
          <w:color w:val="auto"/>
          <w:sz w:val="32"/>
          <w:szCs w:val="32"/>
          <w:lang w:val="en-US" w:eastAsia="zh-CN"/>
        </w:rPr>
        <w:t>年。</w:t>
      </w:r>
      <w:r>
        <w:rPr>
          <w:rFonts w:hint="default" w:ascii="Times New Roman" w:hAnsi="Times New Roman" w:eastAsia="仿宋" w:cs="Times New Roman"/>
          <w:bCs/>
          <w:color w:val="auto"/>
          <w:sz w:val="32"/>
          <w:szCs w:val="32"/>
        </w:rPr>
        <w:t>质保期内非采购人的人为原因而出现产品质量及安装问题（消耗品除外），由</w:t>
      </w:r>
      <w:r>
        <w:rPr>
          <w:rFonts w:hint="default" w:ascii="Times New Roman" w:hAnsi="Times New Roman" w:eastAsia="仿宋" w:cs="Times New Roman"/>
          <w:sz w:val="32"/>
          <w:szCs w:val="32"/>
        </w:rPr>
        <w:t>供应商</w:t>
      </w:r>
      <w:r>
        <w:rPr>
          <w:rFonts w:hint="default" w:ascii="Times New Roman" w:hAnsi="Times New Roman" w:eastAsia="仿宋" w:cs="Times New Roman"/>
          <w:bCs/>
          <w:color w:val="auto"/>
          <w:sz w:val="32"/>
          <w:szCs w:val="32"/>
        </w:rPr>
        <w:t>负责包修、包换或包退，并承担因此而产生的一切费用。</w:t>
      </w:r>
    </w:p>
    <w:p w14:paraId="170053CC">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供应商须提供24小时的全方位技术支持和售后服务。所供产品须按厂家承诺实行</w:t>
      </w:r>
      <w:r>
        <w:rPr>
          <w:rFonts w:hint="eastAsia" w:ascii="仿宋" w:hAnsi="仿宋" w:eastAsia="仿宋" w:cs="仿宋"/>
          <w:color w:val="auto"/>
          <w:sz w:val="32"/>
          <w:szCs w:val="32"/>
        </w:rPr>
        <w:t>“三包”</w:t>
      </w:r>
      <w:r>
        <w:rPr>
          <w:rFonts w:hint="default" w:ascii="Times New Roman" w:hAnsi="Times New Roman" w:eastAsia="仿宋" w:cs="Times New Roman"/>
          <w:color w:val="auto"/>
          <w:sz w:val="32"/>
          <w:szCs w:val="32"/>
        </w:rPr>
        <w:t>，若发现本次采购的产品本身存在缺陷，供应商须无条件退货或更换同类产品。</w:t>
      </w:r>
    </w:p>
    <w:p w14:paraId="51DFFC77">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eastAsia" w:ascii="Times New Roman" w:hAnsi="Times New Roman" w:eastAsia="仿宋" w:cs="Times New Roman"/>
          <w:bCs/>
          <w:color w:val="auto"/>
          <w:sz w:val="32"/>
          <w:szCs w:val="32"/>
          <w:lang w:eastAsia="zh-CN"/>
        </w:rPr>
      </w:pP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在保用的期限内，本次采购的产品出现非用户方责任造成的故障的，供应商无偿为用户维修或更换相应设备，并保证用户的正常使用。</w:t>
      </w:r>
      <w:r>
        <w:rPr>
          <w:rFonts w:hint="default" w:ascii="Times New Roman" w:hAnsi="Times New Roman" w:eastAsia="仿宋" w:cs="Times New Roman"/>
          <w:bCs/>
          <w:color w:val="auto"/>
          <w:sz w:val="32"/>
          <w:szCs w:val="32"/>
        </w:rPr>
        <w:t>响应时间：采购人反馈产品质量、故障、事故问题时，30分钟内予以响应</w:t>
      </w:r>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rPr>
        <w:t>需到现场维修时，</w:t>
      </w:r>
      <w:r>
        <w:rPr>
          <w:rFonts w:hint="default" w:ascii="Times New Roman" w:hAnsi="Times New Roman" w:eastAsia="仿宋" w:cs="Times New Roman"/>
          <w:bCs/>
          <w:color w:val="auto"/>
          <w:sz w:val="32"/>
          <w:szCs w:val="32"/>
          <w:lang w:val="en-US" w:eastAsia="zh-CN"/>
        </w:rPr>
        <w:t>1</w:t>
      </w:r>
      <w:r>
        <w:rPr>
          <w:rFonts w:hint="default" w:ascii="Times New Roman" w:hAnsi="Times New Roman" w:eastAsia="仿宋" w:cs="Times New Roman"/>
          <w:bCs/>
          <w:color w:val="auto"/>
          <w:sz w:val="32"/>
          <w:szCs w:val="32"/>
        </w:rPr>
        <w:t>小时内到达现场维修，一般情况在</w:t>
      </w:r>
      <w:r>
        <w:rPr>
          <w:rFonts w:hint="default" w:ascii="Times New Roman" w:hAnsi="Times New Roman" w:eastAsia="仿宋" w:cs="Times New Roman"/>
          <w:bCs/>
          <w:color w:val="auto"/>
          <w:sz w:val="32"/>
          <w:szCs w:val="32"/>
          <w:lang w:val="en-US" w:eastAsia="zh-CN"/>
        </w:rPr>
        <w:t>8</w:t>
      </w:r>
      <w:r>
        <w:rPr>
          <w:rFonts w:hint="default" w:ascii="Times New Roman" w:hAnsi="Times New Roman" w:eastAsia="仿宋" w:cs="Times New Roman"/>
          <w:bCs/>
          <w:color w:val="auto"/>
          <w:sz w:val="32"/>
          <w:szCs w:val="32"/>
        </w:rPr>
        <w:t>小时内须排除故障</w:t>
      </w:r>
      <w:r>
        <w:rPr>
          <w:rFonts w:hint="eastAsia"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rPr>
        <w:t>在24小时内或紧急情况下，未能妥善处理，需与采购人说明情况</w:t>
      </w:r>
      <w:r>
        <w:rPr>
          <w:rFonts w:hint="eastAsia"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rPr>
        <w:t>提供具有同样功能的货品供使用单位使用</w:t>
      </w:r>
      <w:r>
        <w:rPr>
          <w:rFonts w:hint="eastAsia" w:ascii="Times New Roman" w:hAnsi="Times New Roman" w:eastAsia="仿宋" w:cs="Times New Roman"/>
          <w:bCs/>
          <w:color w:val="auto"/>
          <w:sz w:val="32"/>
          <w:szCs w:val="32"/>
          <w:lang w:eastAsia="zh-CN"/>
        </w:rPr>
        <w:t>。</w:t>
      </w:r>
    </w:p>
    <w:p w14:paraId="0ED7BF53">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供应商须为采购人进行相关操作系统及备份系统的安装调试工作。</w:t>
      </w:r>
    </w:p>
    <w:p w14:paraId="0992814B">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rPr>
      </w:pPr>
      <w:r>
        <w:rPr>
          <w:rFonts w:hint="eastAsia" w:eastAsia="仿宋" w:cs="Times New Roman"/>
          <w:color w:val="auto"/>
          <w:sz w:val="32"/>
          <w:szCs w:val="32"/>
          <w:lang w:val="en-US" w:eastAsia="zh-CN"/>
        </w:rPr>
        <w:t>5</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rPr>
        <w:t>供应商应提供包括但不限于满足设备安装、使用、专用安装维修工具、日常维修工具和维护的技术文件，如设备和附件装箱清单、产品合格证、保修服务卡、软件、使用说明（原版正本）、中文维护手册和相关进口资料。</w:t>
      </w:r>
    </w:p>
    <w:p w14:paraId="4FD74D12">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eastAsia" w:ascii="黑体" w:hAnsi="黑体" w:eastAsia="黑体" w:cs="黑体"/>
          <w:b w:val="0"/>
          <w:bCs/>
          <w:color w:val="auto"/>
          <w:sz w:val="32"/>
          <w:szCs w:val="32"/>
        </w:rPr>
      </w:pPr>
      <w:r>
        <w:rPr>
          <w:rFonts w:hint="eastAsia" w:ascii="楷体" w:hAnsi="楷体" w:eastAsia="楷体" w:cs="楷体"/>
          <w:sz w:val="32"/>
          <w:szCs w:val="32"/>
          <w:lang w:eastAsia="zh-CN"/>
        </w:rPr>
        <w:t>（六）项目变更</w:t>
      </w:r>
    </w:p>
    <w:p w14:paraId="3F68C622">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left"/>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eastAsia="zh-CN"/>
        </w:rPr>
        <w:t>采购</w:t>
      </w:r>
      <w:r>
        <w:rPr>
          <w:rFonts w:hint="default" w:ascii="Times New Roman" w:hAnsi="Times New Roman" w:eastAsia="仿宋" w:cs="Times New Roman"/>
          <w:color w:val="auto"/>
          <w:sz w:val="32"/>
          <w:szCs w:val="32"/>
        </w:rPr>
        <w:t>人需对原项目设计进行变更或要求增购额外品种时，应提前3天以书面形式向</w:t>
      </w:r>
      <w:r>
        <w:rPr>
          <w:rFonts w:hint="eastAsia" w:ascii="Times New Roman" w:hAnsi="Times New Roman" w:eastAsia="仿宋" w:cs="Times New Roman"/>
          <w:color w:val="auto"/>
          <w:sz w:val="32"/>
          <w:szCs w:val="32"/>
          <w:lang w:eastAsia="zh-CN"/>
        </w:rPr>
        <w:t>供应商</w:t>
      </w:r>
      <w:r>
        <w:rPr>
          <w:rFonts w:hint="default" w:ascii="Times New Roman" w:hAnsi="Times New Roman" w:eastAsia="仿宋" w:cs="Times New Roman"/>
          <w:color w:val="auto"/>
          <w:sz w:val="32"/>
          <w:szCs w:val="32"/>
        </w:rPr>
        <w:t>发出变更通知。</w:t>
      </w:r>
      <w:r>
        <w:rPr>
          <w:rFonts w:hint="eastAsia" w:ascii="Times New Roman" w:hAnsi="Times New Roman" w:eastAsia="仿宋" w:cs="Times New Roman"/>
          <w:b/>
          <w:bCs/>
          <w:color w:val="auto"/>
          <w:sz w:val="32"/>
          <w:szCs w:val="32"/>
          <w:u w:val="single"/>
          <w:lang w:eastAsia="zh-CN"/>
        </w:rPr>
        <w:t>供应商</w:t>
      </w:r>
      <w:r>
        <w:rPr>
          <w:rFonts w:hint="default" w:ascii="Times New Roman" w:hAnsi="Times New Roman" w:eastAsia="仿宋" w:cs="Times New Roman"/>
          <w:b/>
          <w:bCs/>
          <w:color w:val="auto"/>
          <w:sz w:val="32"/>
          <w:szCs w:val="32"/>
          <w:u w:val="single"/>
        </w:rPr>
        <w:t>在力所能及的情况下不得拒绝，必须全力配合</w:t>
      </w:r>
      <w:r>
        <w:rPr>
          <w:rFonts w:hint="eastAsia" w:ascii="Times New Roman" w:hAnsi="Times New Roman" w:eastAsia="仿宋" w:cs="Times New Roman"/>
          <w:b/>
          <w:bCs/>
          <w:color w:val="auto"/>
          <w:sz w:val="32"/>
          <w:szCs w:val="32"/>
          <w:u w:val="single"/>
          <w:lang w:eastAsia="zh-CN"/>
        </w:rPr>
        <w:t>采购</w:t>
      </w:r>
      <w:r>
        <w:rPr>
          <w:rFonts w:hint="default" w:ascii="Times New Roman" w:hAnsi="Times New Roman" w:eastAsia="仿宋" w:cs="Times New Roman"/>
          <w:b/>
          <w:bCs/>
          <w:color w:val="auto"/>
          <w:sz w:val="32"/>
          <w:szCs w:val="32"/>
          <w:u w:val="single"/>
        </w:rPr>
        <w:t>人，且仍按项目结算方式结算</w:t>
      </w:r>
      <w:r>
        <w:rPr>
          <w:rFonts w:hint="default" w:ascii="Times New Roman" w:hAnsi="Times New Roman" w:eastAsia="仿宋" w:cs="Times New Roman"/>
          <w:b/>
          <w:bCs/>
          <w:color w:val="auto"/>
          <w:sz w:val="32"/>
          <w:szCs w:val="32"/>
        </w:rPr>
        <w:t>。</w:t>
      </w:r>
      <w:r>
        <w:rPr>
          <w:rFonts w:hint="default" w:ascii="Times New Roman" w:hAnsi="Times New Roman" w:eastAsia="仿宋" w:cs="Times New Roman"/>
          <w:color w:val="auto"/>
          <w:sz w:val="32"/>
          <w:szCs w:val="32"/>
        </w:rPr>
        <w:t>变更超过原标准或服务范围时，</w:t>
      </w:r>
      <w:r>
        <w:rPr>
          <w:rFonts w:hint="eastAsia" w:ascii="Times New Roman" w:hAnsi="Times New Roman" w:eastAsia="仿宋" w:cs="Times New Roman"/>
          <w:color w:val="auto"/>
          <w:sz w:val="32"/>
          <w:szCs w:val="32"/>
          <w:lang w:eastAsia="zh-CN"/>
        </w:rPr>
        <w:t>采购人</w:t>
      </w:r>
      <w:r>
        <w:rPr>
          <w:rFonts w:hint="default" w:ascii="Times New Roman" w:hAnsi="Times New Roman" w:eastAsia="仿宋" w:cs="Times New Roman"/>
          <w:color w:val="auto"/>
          <w:sz w:val="32"/>
          <w:szCs w:val="32"/>
        </w:rPr>
        <w:t>应提供变更的相应说明。</w:t>
      </w:r>
      <w:r>
        <w:rPr>
          <w:rFonts w:hint="eastAsia" w:ascii="Times New Roman" w:hAnsi="Times New Roman" w:eastAsia="仿宋" w:cs="Times New Roman"/>
          <w:color w:val="auto"/>
          <w:sz w:val="32"/>
          <w:szCs w:val="32"/>
          <w:lang w:eastAsia="zh-CN"/>
        </w:rPr>
        <w:t>供应商</w:t>
      </w:r>
      <w:r>
        <w:rPr>
          <w:rFonts w:hint="default" w:ascii="Times New Roman" w:hAnsi="Times New Roman" w:eastAsia="仿宋" w:cs="Times New Roman"/>
          <w:color w:val="auto"/>
          <w:sz w:val="32"/>
          <w:szCs w:val="32"/>
        </w:rPr>
        <w:t>按照</w:t>
      </w:r>
      <w:r>
        <w:rPr>
          <w:rFonts w:hint="eastAsia" w:ascii="Times New Roman" w:hAnsi="Times New Roman" w:eastAsia="仿宋" w:cs="Times New Roman"/>
          <w:color w:val="auto"/>
          <w:sz w:val="32"/>
          <w:szCs w:val="32"/>
          <w:lang w:eastAsia="zh-CN"/>
        </w:rPr>
        <w:t>采购</w:t>
      </w:r>
      <w:r>
        <w:rPr>
          <w:rFonts w:hint="default" w:ascii="Times New Roman" w:hAnsi="Times New Roman" w:eastAsia="仿宋" w:cs="Times New Roman"/>
          <w:color w:val="auto"/>
          <w:sz w:val="32"/>
          <w:szCs w:val="32"/>
        </w:rPr>
        <w:t>人发出的变更通知及有关要求，进行下列需要的变更</w:t>
      </w:r>
      <w:r>
        <w:rPr>
          <w:rFonts w:hint="eastAsia" w:ascii="Times New Roman" w:hAnsi="Times New Roman" w:eastAsia="仿宋" w:cs="Times New Roman"/>
          <w:b/>
          <w:bCs/>
          <w:color w:val="auto"/>
          <w:sz w:val="32"/>
          <w:szCs w:val="32"/>
          <w:lang w:eastAsia="zh-CN"/>
        </w:rPr>
        <w:t>：</w:t>
      </w:r>
      <w:r>
        <w:rPr>
          <w:rFonts w:hint="default" w:ascii="Times New Roman" w:hAnsi="Times New Roman" w:eastAsia="仿宋" w:cs="Times New Roman"/>
          <w:color w:val="auto"/>
          <w:sz w:val="32"/>
          <w:szCs w:val="32"/>
        </w:rPr>
        <w:br w:type="textWrapping"/>
      </w:r>
      <w:r>
        <w:rPr>
          <w:rFonts w:hint="default" w:ascii="Times New Roman" w:hAnsi="Times New Roman" w:eastAsia="仿宋" w:cs="Times New Roman"/>
          <w:color w:val="auto"/>
          <w:sz w:val="32"/>
          <w:szCs w:val="32"/>
        </w:rPr>
        <w:t>　　（1）增加合同中约定的数量及工作范围；</w:t>
      </w:r>
      <w:r>
        <w:rPr>
          <w:rFonts w:hint="default" w:ascii="Times New Roman" w:hAnsi="Times New Roman" w:eastAsia="仿宋" w:cs="Times New Roman"/>
          <w:color w:val="auto"/>
          <w:sz w:val="32"/>
          <w:szCs w:val="32"/>
        </w:rPr>
        <w:br w:type="textWrapping"/>
      </w:r>
      <w:r>
        <w:rPr>
          <w:rFonts w:hint="default" w:ascii="Times New Roman" w:hAnsi="Times New Roman" w:eastAsia="仿宋" w:cs="Times New Roman"/>
          <w:color w:val="auto"/>
          <w:sz w:val="32"/>
          <w:szCs w:val="32"/>
        </w:rPr>
        <w:t>　　（2）改变有关项目的服务时间和顺序；</w:t>
      </w:r>
      <w:r>
        <w:rPr>
          <w:rFonts w:hint="default" w:ascii="Times New Roman" w:hAnsi="Times New Roman" w:eastAsia="仿宋" w:cs="Times New Roman"/>
          <w:color w:val="auto"/>
          <w:sz w:val="32"/>
          <w:szCs w:val="32"/>
        </w:rPr>
        <w:br w:type="textWrapping"/>
      </w:r>
      <w:r>
        <w:rPr>
          <w:rFonts w:hint="default" w:ascii="Times New Roman" w:hAnsi="Times New Roman" w:eastAsia="仿宋" w:cs="Times New Roman"/>
          <w:color w:val="auto"/>
          <w:sz w:val="32"/>
          <w:szCs w:val="32"/>
        </w:rPr>
        <w:t>　　（3）其他有关项目变更需要的附加工作。</w:t>
      </w:r>
    </w:p>
    <w:p w14:paraId="4B6E8568">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楷体" w:hAnsi="楷体" w:eastAsia="楷体" w:cs="楷体"/>
          <w:sz w:val="32"/>
          <w:szCs w:val="32"/>
          <w:lang w:val="en-US" w:eastAsia="zh-CN"/>
        </w:rPr>
      </w:pPr>
      <w:r>
        <w:rPr>
          <w:rFonts w:hint="eastAsia" w:ascii="楷体" w:hAnsi="楷体" w:eastAsia="楷体" w:cs="楷体"/>
          <w:sz w:val="32"/>
          <w:szCs w:val="32"/>
          <w:lang w:eastAsia="zh-CN"/>
        </w:rPr>
        <w:t>（七）</w:t>
      </w:r>
      <w:r>
        <w:rPr>
          <w:rFonts w:hint="default" w:ascii="楷体" w:hAnsi="楷体" w:eastAsia="楷体" w:cs="楷体"/>
          <w:sz w:val="32"/>
          <w:szCs w:val="32"/>
          <w:lang w:val="en-US" w:eastAsia="zh-CN"/>
        </w:rPr>
        <w:t>报价要求</w:t>
      </w:r>
    </w:p>
    <w:p w14:paraId="4C6B05A6">
      <w:pPr>
        <w:keepNext w:val="0"/>
        <w:keepLines w:val="0"/>
        <w:pageBreakBefore w:val="0"/>
        <w:widowControl w:val="0"/>
        <w:kinsoku/>
        <w:wordWrap/>
        <w:overflowPunct/>
        <w:topLinePunct w:val="0"/>
        <w:autoSpaceDE/>
        <w:autoSpaceDN/>
        <w:bidi w:val="0"/>
        <w:adjustRightInd/>
        <w:snapToGrid/>
        <w:spacing w:line="575" w:lineRule="exact"/>
        <w:ind w:firstLine="643" w:firstLineChars="200"/>
        <w:jc w:val="left"/>
        <w:rPr>
          <w:rFonts w:hint="default" w:ascii="Times New Roman" w:hAnsi="Times New Roman" w:eastAsia="仿宋" w:cs="Times New Roman"/>
          <w:b/>
          <w:bCs/>
          <w:color w:val="auto"/>
          <w:sz w:val="32"/>
          <w:szCs w:val="32"/>
          <w:u w:val="single"/>
        </w:rPr>
      </w:pPr>
      <w:r>
        <w:rPr>
          <w:rFonts w:hint="default" w:ascii="Times New Roman" w:hAnsi="Times New Roman" w:eastAsia="仿宋" w:cs="Times New Roman"/>
          <w:b/>
          <w:bCs/>
          <w:color w:val="auto"/>
          <w:sz w:val="32"/>
          <w:szCs w:val="32"/>
          <w:u w:val="single"/>
        </w:rPr>
        <w:t>本项目</w:t>
      </w:r>
      <w:r>
        <w:rPr>
          <w:rFonts w:hint="eastAsia" w:ascii="Times New Roman" w:hAnsi="Times New Roman" w:eastAsia="仿宋" w:cs="Times New Roman"/>
          <w:b/>
          <w:bCs/>
          <w:color w:val="auto"/>
          <w:sz w:val="32"/>
          <w:szCs w:val="32"/>
          <w:u w:val="single"/>
          <w:lang w:eastAsia="zh-CN"/>
        </w:rPr>
        <w:t>投件</w:t>
      </w:r>
      <w:r>
        <w:rPr>
          <w:rFonts w:hint="default" w:ascii="Times New Roman" w:hAnsi="Times New Roman" w:eastAsia="仿宋" w:cs="Times New Roman"/>
          <w:b/>
          <w:bCs/>
          <w:color w:val="auto"/>
          <w:sz w:val="32"/>
          <w:szCs w:val="32"/>
          <w:u w:val="single"/>
        </w:rPr>
        <w:t>报价应为包括所有费用（包括运费、税费）在内的报价，</w:t>
      </w:r>
      <w:r>
        <w:rPr>
          <w:rFonts w:hint="eastAsia" w:ascii="Times New Roman" w:hAnsi="Times New Roman" w:eastAsia="仿宋" w:cs="Times New Roman"/>
          <w:b/>
          <w:bCs/>
          <w:color w:val="auto"/>
          <w:sz w:val="32"/>
          <w:szCs w:val="32"/>
          <w:u w:val="single"/>
          <w:lang w:eastAsia="zh-CN"/>
        </w:rPr>
        <w:t>供应商</w:t>
      </w:r>
      <w:r>
        <w:rPr>
          <w:rFonts w:hint="default" w:ascii="Times New Roman" w:hAnsi="Times New Roman" w:eastAsia="仿宋" w:cs="Times New Roman"/>
          <w:b/>
          <w:bCs/>
          <w:color w:val="auto"/>
          <w:sz w:val="32"/>
          <w:szCs w:val="32"/>
          <w:u w:val="single"/>
        </w:rPr>
        <w:t>不得再向</w:t>
      </w:r>
      <w:r>
        <w:rPr>
          <w:rFonts w:hint="eastAsia" w:ascii="Times New Roman" w:hAnsi="Times New Roman" w:eastAsia="仿宋" w:cs="Times New Roman"/>
          <w:b/>
          <w:bCs/>
          <w:color w:val="auto"/>
          <w:sz w:val="32"/>
          <w:szCs w:val="32"/>
          <w:u w:val="single"/>
          <w:lang w:eastAsia="zh-CN"/>
        </w:rPr>
        <w:t>采购</w:t>
      </w:r>
      <w:r>
        <w:rPr>
          <w:rFonts w:hint="default" w:ascii="Times New Roman" w:hAnsi="Times New Roman" w:eastAsia="仿宋" w:cs="Times New Roman"/>
          <w:b/>
          <w:bCs/>
          <w:color w:val="auto"/>
          <w:sz w:val="32"/>
          <w:szCs w:val="32"/>
          <w:u w:val="single"/>
        </w:rPr>
        <w:t>人收取任何费用。无论采购批量、配送费用存在何种差别，</w:t>
      </w:r>
      <w:r>
        <w:rPr>
          <w:rFonts w:hint="eastAsia" w:ascii="Times New Roman" w:hAnsi="Times New Roman" w:eastAsia="仿宋" w:cs="Times New Roman"/>
          <w:b/>
          <w:bCs/>
          <w:color w:val="auto"/>
          <w:sz w:val="32"/>
          <w:szCs w:val="32"/>
          <w:u w:val="single"/>
          <w:lang w:eastAsia="zh-CN"/>
        </w:rPr>
        <w:t>采购</w:t>
      </w:r>
      <w:r>
        <w:rPr>
          <w:rFonts w:hint="default" w:ascii="Times New Roman" w:hAnsi="Times New Roman" w:eastAsia="仿宋" w:cs="Times New Roman"/>
          <w:b/>
          <w:bCs/>
          <w:color w:val="auto"/>
          <w:sz w:val="32"/>
          <w:szCs w:val="32"/>
          <w:u w:val="single"/>
        </w:rPr>
        <w:t>人不接受有任何选择的报价。</w:t>
      </w:r>
    </w:p>
    <w:p w14:paraId="39BC4853">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楷体" w:hAnsi="楷体" w:eastAsia="楷体" w:cs="楷体"/>
          <w:sz w:val="32"/>
          <w:szCs w:val="32"/>
          <w:lang w:val="en-US" w:eastAsia="zh-CN"/>
        </w:rPr>
      </w:pPr>
      <w:r>
        <w:rPr>
          <w:rFonts w:hint="eastAsia" w:ascii="楷体" w:hAnsi="楷体" w:eastAsia="楷体" w:cs="楷体"/>
          <w:sz w:val="32"/>
          <w:szCs w:val="32"/>
          <w:lang w:eastAsia="zh-CN"/>
        </w:rPr>
        <w:t>（八）</w:t>
      </w:r>
      <w:r>
        <w:rPr>
          <w:rFonts w:hint="default" w:ascii="楷体" w:hAnsi="楷体" w:eastAsia="楷体" w:cs="楷体"/>
          <w:sz w:val="32"/>
          <w:szCs w:val="32"/>
          <w:lang w:val="en-US" w:eastAsia="zh-CN"/>
        </w:rPr>
        <w:t>项目结算方式</w:t>
      </w:r>
    </w:p>
    <w:p w14:paraId="0F8C2DD5">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b w:val="0"/>
          <w:bCs w:val="0"/>
          <w:color w:val="auto"/>
          <w:sz w:val="32"/>
          <w:szCs w:val="32"/>
        </w:rPr>
        <w:t>1.</w:t>
      </w:r>
      <w:r>
        <w:rPr>
          <w:rFonts w:hint="default" w:ascii="Times New Roman" w:hAnsi="Times New Roman" w:eastAsia="仿宋" w:cs="Times New Roman"/>
          <w:color w:val="auto"/>
          <w:sz w:val="32"/>
          <w:szCs w:val="32"/>
        </w:rPr>
        <w:t>本项目价款的结算和支付均以人民币为单位。</w:t>
      </w:r>
    </w:p>
    <w:p w14:paraId="44703A3F">
      <w:pPr>
        <w:keepNext w:val="0"/>
        <w:keepLines w:val="0"/>
        <w:pageBreakBefore w:val="0"/>
        <w:widowControl w:val="0"/>
        <w:kinsoku/>
        <w:wordWrap/>
        <w:overflowPunct/>
        <w:topLinePunct w:val="0"/>
        <w:autoSpaceDE/>
        <w:autoSpaceDN/>
        <w:bidi w:val="0"/>
        <w:adjustRightInd/>
        <w:snapToGrid/>
        <w:spacing w:line="575" w:lineRule="exact"/>
        <w:ind w:firstLine="640" w:firstLineChars="200"/>
      </w:pPr>
      <w:r>
        <w:rPr>
          <w:rFonts w:hint="eastAsia" w:ascii="Times New Roman" w:hAnsi="Times New Roman" w:eastAsia="仿宋" w:cs="Times New Roman"/>
          <w:b w:val="0"/>
          <w:bCs w:val="0"/>
          <w:color w:val="auto"/>
          <w:kern w:val="2"/>
          <w:sz w:val="32"/>
          <w:szCs w:val="32"/>
          <w:lang w:val="en-US" w:eastAsia="zh-CN" w:bidi="ar-SA"/>
        </w:rPr>
        <w:t>2.</w:t>
      </w:r>
      <w:r>
        <w:rPr>
          <w:rFonts w:hint="default" w:ascii="Times New Roman" w:hAnsi="Times New Roman" w:eastAsia="仿宋" w:cs="Times New Roman"/>
          <w:b w:val="0"/>
          <w:bCs w:val="0"/>
          <w:color w:val="auto"/>
          <w:kern w:val="2"/>
          <w:sz w:val="32"/>
          <w:szCs w:val="32"/>
          <w:lang w:val="en-US" w:eastAsia="zh-CN" w:bidi="ar-SA"/>
        </w:rPr>
        <w:t>所有货物到达采购人指定地方，并经采购人验收合格支付</w:t>
      </w:r>
      <w:r>
        <w:rPr>
          <w:rFonts w:hint="eastAsia" w:ascii="Times New Roman" w:hAnsi="Times New Roman" w:eastAsia="仿宋" w:cs="Times New Roman"/>
          <w:b w:val="0"/>
          <w:bCs w:val="0"/>
          <w:color w:val="auto"/>
          <w:kern w:val="2"/>
          <w:sz w:val="32"/>
          <w:szCs w:val="32"/>
          <w:lang w:val="en-US" w:eastAsia="zh-CN" w:bidi="ar-SA"/>
        </w:rPr>
        <w:t>供应商</w:t>
      </w:r>
      <w:r>
        <w:rPr>
          <w:rFonts w:hint="default" w:ascii="Times New Roman" w:hAnsi="Times New Roman" w:eastAsia="仿宋" w:cs="Times New Roman"/>
          <w:b w:val="0"/>
          <w:bCs w:val="0"/>
          <w:color w:val="auto"/>
          <w:kern w:val="2"/>
          <w:sz w:val="32"/>
          <w:szCs w:val="32"/>
          <w:lang w:val="en-US" w:eastAsia="zh-CN" w:bidi="ar-SA"/>
        </w:rPr>
        <w:t>合同总金额的100%</w:t>
      </w:r>
      <w:r>
        <w:rPr>
          <w:rFonts w:hint="eastAsia" w:ascii="Times New Roman" w:hAnsi="Times New Roman" w:eastAsia="仿宋" w:cs="Times New Roman"/>
          <w:b w:val="0"/>
          <w:bCs w:val="0"/>
          <w:color w:val="auto"/>
          <w:kern w:val="2"/>
          <w:sz w:val="32"/>
          <w:szCs w:val="32"/>
          <w:lang w:val="en-US" w:eastAsia="zh-CN" w:bidi="ar-SA"/>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BBE357-E452-4B7E-8C60-0DABC6FDB2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D3917284-33E0-4825-BE81-BFC904C6B20E}"/>
  </w:font>
  <w:font w:name="仿宋">
    <w:panose1 w:val="02010609060101010101"/>
    <w:charset w:val="86"/>
    <w:family w:val="modern"/>
    <w:pitch w:val="default"/>
    <w:sig w:usb0="800002BF" w:usb1="38CF7CFA" w:usb2="00000016" w:usb3="00000000" w:csb0="00040001" w:csb1="00000000"/>
    <w:embedRegular r:id="rId3" w:fontKey="{55923F08-5E91-4A3A-90AD-B9B0F7FEE5F9}"/>
  </w:font>
  <w:font w:name="楷体">
    <w:panose1 w:val="02010609060101010101"/>
    <w:charset w:val="86"/>
    <w:family w:val="auto"/>
    <w:pitch w:val="default"/>
    <w:sig w:usb0="800002BF" w:usb1="38CF7CFA" w:usb2="00000016" w:usb3="00000000" w:csb0="00040001" w:csb1="00000000"/>
    <w:embedRegular r:id="rId4" w:fontKey="{47E10E76-6FB1-4A1F-BF3A-EC5C216614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A943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FE151">
                          <w:pPr>
                            <w:pStyle w:val="4"/>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  \* MERGEFORMAT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BBFE151">
                    <w:pPr>
                      <w:pStyle w:val="4"/>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  \* MERGEFORMAT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MmRkYWQ1MmVhNTNlZTcwYjdhYTQ5ZDNkZjA0NjMifQ=="/>
  </w:docVars>
  <w:rsids>
    <w:rsidRoot w:val="3EE541A3"/>
    <w:rsid w:val="0B332E0F"/>
    <w:rsid w:val="29602CC0"/>
    <w:rsid w:val="2B3042DE"/>
    <w:rsid w:val="2CAC6259"/>
    <w:rsid w:val="30641389"/>
    <w:rsid w:val="30C91799"/>
    <w:rsid w:val="3EE541A3"/>
    <w:rsid w:val="77AF1293"/>
    <w:rsid w:val="7B7D310C"/>
    <w:rsid w:val="7FE13897"/>
    <w:rsid w:val="D7DF917C"/>
    <w:rsid w:val="F6DE5D66"/>
    <w:rsid w:val="F7C30D10"/>
    <w:rsid w:val="FFDEA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nhideWhenUsed="0" w:uiPriority="0"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0"/>
      <w:outlineLvl w:val="1"/>
    </w:pPr>
    <w:rPr>
      <w:rFonts w:ascii="Arial" w:hAnsi="Arial" w:cs="Arial"/>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3300</Words>
  <Characters>3512</Characters>
  <Lines>0</Lines>
  <Paragraphs>0</Paragraphs>
  <TotalTime>7</TotalTime>
  <ScaleCrop>false</ScaleCrop>
  <LinksUpToDate>false</LinksUpToDate>
  <CharactersWithSpaces>3543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2023-10-09T00:51:00Z</dcterms:created>
  <dc:creator>雨落義山</dc:creator>
  <cp:lastModifiedBy>:)？</cp:lastModifiedBy>
  <dcterms:modified xsi:type="dcterms:W3CDTF">2024-08-22T02:39:55Z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BDA3A09CD43C47E685B63C6F5B7B8DF4_13</vt:lpwstr>
  </property>
</Properties>
</file>